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DMBeEndG</w:t>
      </w:r>
    </w:p>
    <w:p>
      <w:r>
        <w:rPr>
          <w:color w:val="555555"/>
          <w:sz w:val="18"/>
        </w:rPr>
        <w:t xml:space="preserve">DM-Beendigungsgesetz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Verfolgung einer Straftat auf dem Gebiet der Geldfälschung geltenden Vorschriften der Strafprozessordnung gelten entsprechend für die Verfolgung einer Straftat nach § 4 in Verbindung mit einer dort genannten Vorschrift des Strafgesetzbuches. Die für die Verfolgung einer Geldfälschung nach § 146 des Strafgesetzbuches geltenden Vorschriften der Strafprozessordnung gelten entsprechend für die Verfolgung einer Straftat nach § 4 in Verbindung mit § 146 des Strafgesetzbuches.</w:t>
      </w:r>
    </w:p>
    <w:p>
      <w:r>
        <w:rPr>
          <w:color w:val="555555"/>
          <w:sz w:val="17"/>
        </w:rPr>
        <w:t xml:space="preserve">Zitiervorschlag: § 5 DMBeEndG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https://recht.nulegal.eu/gesetze/DMBeEndG/5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