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DMA — Aussetzung</w:t>
      </w:r>
    </w:p>
    <w:p>
      <w:r>
        <w:rPr>
          <w:color w:val="555555"/>
          <w:sz w:val="18"/>
        </w:rPr>
        <w:t xml:space="preserve">DMA</w:t>
      </w:r>
    </w:p>
    <w:p>
      <w:r>
        <w:rPr>
          <w:color w:val="555555"/>
          <w:sz w:val="18"/>
        </w:rPr>
        <w:t xml:space="preserve">Stand: 22.07.2026 (konsolidierte Textfassung, kein amtliches Inkrafttretensdatum)</w:t>
      </w:r>
    </w:p>
    <w:p>
      <w:r>
        <w:t xml:space="preserve">(1) Weist der Torwächter in einem mit Gründen versehenen Antrag nach, dass die Einhaltung einer bestimmten Verpflichtung nach den Artikeln 5, 6 oder 7 für einen im Benennungsbeschluss nach Artikel 3 Absatz 9 aufgeführten zentralen Plattformdienst aufgrund außergewöhnlicher Umstände, auf die der Torwächter keinen Einfluss hat, die Rentabilität der Geschäftstätigkeit des Torwächters in der Union gefährden würde, so kann die Kommission einen Durchführungsrechtsakt erlassen, mit dem sie beschließt, die in dem mit Gründen versehenen Antrag genannte bestimmte Verpflichtung ausnahmsweise ganz oder teilweise auszusetzen. In diesem Durchführungsrechtsakt begründet die Kommission ihren Aussetzungsbeschluss, indem sie die außergewöhnlichen Umstände angibt, die die Aussetzung rechtfertigen. Dieser Durchführungsrechtsakt wird auf den Umfang und die Geltungsdauer beschränkt, die für die Beseitigung der Gefährdung der Rentabilität des Torwächters erforderlich sind. Die Kommission bemüht sich, diesen Durchführungsrechtsakt unverzüglich, spätestens jedoch drei Monate nach Eingang eines vollständigen mit Gründen versehenen Antrags, zu erlassen. Dieser Durchführungsrechtsakt wird gemäß dem in Artikel 50 Absatz 2 genannten Beratungsverfahren erlassen.</w:t>
      </w:r>
    </w:p>
    <w:p>
      <w:r>
        <w:t xml:space="preserve">(2) Wird eine Aussetzung nach Absatz 1 gewährt, so überprüft die Kommission ihren Aussetzungsbeschluss jedes Jahr, es sei denn, in dem Beschluss ist ein kürzerer Zeitraum festgelegt. Infolge einer solchen Überprüfung hebt die Kommission die Aussetzung ganz oder teilweise auf oder beschließt, dass die Voraussetzungen des Absatzes 1 nach wie vor erfüllt sind.</w:t>
      </w:r>
    </w:p>
    <w:p>
      <w:r>
        <w:t xml:space="preserve">(3) In dringenden Fällen kann die Kommission auf mit Gründen versehenen Antrag eines Torwächters die Anwendung einer bestimmten Verpflichtung nach Absatz 1 auf einen oder mehrere einzelne zentrale Plattformdienste bereits vor dem Erlass eines Beschlusses nach dem genannten Absatz vorläufig aussetzen. Ein solcher Antrag kann jederzeit gestellt und bewilligt werden, bis die Kommission über den Antrag nach Absatz 1 befunden hat.</w:t>
      </w:r>
    </w:p>
    <w:p>
      <w:r>
        <w:t xml:space="preserve">(4) Bei der Prüfung eines Antrags nach den Absätzen 1 und 3 berücksichtigt die Kommission insbesondere die Auswirkungen der Einhaltung der betreffenden Verpflichtung auf die Rentabilität der Geschäftstätigkeit des Torwächters in der Union sowie auf Dritte, insbesondere KMU und Verbraucher. Die Kommission kann die Aussetzung von geeigneten Bedingungen und Auflagen abhängig machen, um ein ausgewogenes Gleichgewicht zwischen diesen Interessen und den Zielen der vorliegenden Verordnung zu erreichen.</w:t>
      </w:r>
    </w:p>
    <w:p>
      <w:r>
        <w:rPr>
          <w:color w:val="555555"/>
          <w:sz w:val="17"/>
        </w:rPr>
        <w:t xml:space="preserve">Zitiervorschlag: Art 9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