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DMA — Einhaltung der Verpflichtungen durch Torwächter</w:t>
      </w:r>
    </w:p>
    <w:p>
      <w:r>
        <w:rPr>
          <w:color w:val="555555"/>
          <w:sz w:val="18"/>
        </w:rPr>
        <w:t xml:space="preserve">DMA</w:t>
      </w:r>
    </w:p>
    <w:p>
      <w:r>
        <w:rPr>
          <w:color w:val="555555"/>
          <w:sz w:val="18"/>
        </w:rPr>
        <w:t xml:space="preserve">Stand: 22.07.2026 (konsolidierte Textfassung, kein amtliches Inkrafttretensdatum)</w:t>
      </w:r>
    </w:p>
    <w:p>
      <w:r>
        <w:t xml:space="preserve">(1) Der Torwächter hat die Einhaltung der Verpflichtungen aus den Artikeln 5, 6 und 7 dieser Verordnung sicherzustellen und weist diese nach. Die Maßnahmen, die der Torwächter ergreift, um die Einhaltung der genannten Artikel sicherzustellen, müssen dazu führen, dass die Zielsetzungen dieser Verordnung und der jeweiligen Verpflichtung wirksam erreicht werden. Der Torwächter stellt sicher, dass diese Maßnahmen im Einklang mit dem anwendbaren Recht, insbesondere der Verordnung (EU) 2016/679, der Richtlinie 2002/58/EG, den Rechtsvorschriften in Bezug auf Cybersicherheit, Verbraucherschutz, Produktsicherheit sowie den Anforderungen an die Barrierefreiheit durchgeführt werden.</w:t>
      </w:r>
    </w:p>
    <w:p>
      <w:r>
        <w:t xml:space="preserve">(2) Die Kommission kann von Amts wegen oder auf Antrag des Torwächters gemäß Absatz 3 des vorliegenden Artikels ein Verfahren nach Artikel 20 einleiten.</w:t>
      </w:r>
    </w:p>
    <w:p>
      <w:r>
        <w:t xml:space="preserve">Die Kommission kann Durchführungsrechtsakte erlassen, in denen die Maßnahmen festgelegt werden, die der betreffende Torwächter zu ergreifen hat, um den Verpflichtungen aus Artikel 6 und 7 wirksam nachzukommen. Dieser Durchführungsrechtsakt wird gemäß dem in Artikel 50 Absatz 2 genannten Beratungsverfahren erlassen innerhalb von sechs Monaten nach Einleitung des Verfahrens nach Artikel 20.</w:t>
      </w:r>
    </w:p>
    <w:p>
      <w:r>
        <w:t xml:space="preserve">Leitet die Kommission von Amts wegen ein Verfahren wegen Umgehung nach Artikel 13 ein, so können diese Maßnahmen die Verpflichtungen aus den Artikeln 5, 6 und 7 betreffen.</w:t>
      </w:r>
    </w:p>
    <w:p>
      <w:r>
        <w:t xml:space="preserve">(3) Ein Torwächter kann die Kommission ersuchen, ein Verfahren einzuleiten, um festzustellen, ob das Ziel der betreffenden Verpflichtung durch die Maßnahmen, die der Torwächter zur Gewährleistung der Einhaltung der Artikel 6 und 7 zu ergreifen beabsichtigt oder ergriffen hat, in Anbetracht der besonderen Umstände des Torwächters wirksam erreicht wird. Die Kommission entscheidet nach eigenem Ermessen über die Einleitung eines solchen Verfahrens, unter Wahrung der Grundsätze der Gleichbehandlung, der Verhältnismäßigkeit und der guten Verwaltungspraxis.</w:t>
      </w:r>
    </w:p>
    <w:p>
      <w:r>
        <w:t xml:space="preserve">Der Torwächter fügt seinem Ersuchen einen mit Gründen versehenen Schriftsatz bei, in dem er die Maßnahmen erläutert, die er zu ergreifen beabsichtigt oder ergriffen hat. Darüber hinaus stellt der Torwächter eine nichtvertrauliche Fassung seines mit Gründen versehenen Schriftsatzes zur Verfügung, die gemäß Absatz 6 an Dritte weitergegeben werden kann.</w:t>
      </w:r>
    </w:p>
    <w:p>
      <w:r>
        <w:t xml:space="preserve">(4) Die Absätze 2 und 3 des vorliegenden Artikels lassen die Befugnisse der Kommission nach den Artikeln 29, 30 und 31 unberührt.</w:t>
      </w:r>
    </w:p>
    <w:p>
      <w:r>
        <w:t xml:space="preserve">(5) Im Hinblick auf den Erlass eines Beschlusses nach Absatz 2 gibt die Kommission dem Torwächter innerhalb von drei Monaten nach Einleitung des Verfahrens nach Artikel 20 ihre vorläufige Beurteilung bekannt. In dieser vorläufigen Beurteilung erläutert die Kommission, welche Maßnahmen sie zu ergreifen beabsichtigt bzw. der betreffende Torwächter ihrer Ansicht nach ergreifen sollte, um der vorläufigen Beurteilung wirksam Rechnung zu tragen.</w:t>
      </w:r>
    </w:p>
    <w:p>
      <w:r>
        <w:t xml:space="preserve">(6) Um interessierten Dritten wirksam Gelegenheit zur Stellungnahme zu geben, veröffentlicht die Kommission bei Mitteilung ihrer vorläufigen Beurteilung an den Torwächter nach Absatz 5 oder so bald wie möglich danach eine nichtvertrauliche Zusammenfassung des Falls und der Maßnahmen, die sie zu ergreifen beabsichtigt oder die der betreffende Torwächter ihrer Ansicht nach ergreifen sollte. Die Kommission legt für die Abgabe der Stellungnahmen einen angemessenen Zeitraum fest.</w:t>
      </w:r>
    </w:p>
    <w:p>
      <w:r>
        <w:t xml:space="preserve">(7) Bei der Festlegung der Maßnahmen nach Absatz 2 stellt die Kommission sicher, dass die Ziele dieser Verordnung und der betreffenden Verpflichtung durch diese Maßnahmen wirksam erreicht werden und die Maßnahmen in Anbetracht der besonderen Umstände des Torwächters und der betreffenden Dienstleistung verhältnismäßig sind.</w:t>
      </w:r>
    </w:p>
    <w:p>
      <w:r>
        <w:t xml:space="preserve">(8) Für die Zwecke der Festlegung der Verpflichtungen nach Artikel 6 Absätze 11 und 12 prüft die Kommission auch, ob die beabsichtigten bzw. durchgeführten Maßnahmen sicherstellen, dass kein Ungleichgewicht zwischen den Rechten und Pflichten der gewerblichen Nutzer mehr besteht und dass die Maßnahmen dem Torwächter keinen Vorteil verschaffen, der in Anbetracht seiner Dienstleistung für die gewerblichen Nutzer unverhältnismäßig wäre.</w:t>
      </w:r>
    </w:p>
    <w:p>
      <w:r>
        <w:t xml:space="preserve">(9) Bei Verfahren nach Absatz 2 kann die Kommission auf Antrag oder von Amts wegen beschließen, das Verfahren wieder aufzunehmen, wenn</w:t>
      </w:r>
    </w:p>
    <w:p>
      <w:r>
        <w:t xml:space="preserve">a) sich der Sachverhalt, auf den sich der Beschluss stützte, in einem wesentlichen Punkt geändert hat oder</w:t>
      </w:r>
    </w:p>
    <w:p>
      <w:r>
        <w:t xml:space="preserve">b) der Beschluss auf unvollständigen, unrichtigen oder irreführenden Angaben beruhte oder</w:t>
      </w:r>
    </w:p>
    <w:p>
      <w:r>
        <w:t xml:space="preserve">c) die im Beschluss genannten Maßnahmen nicht wirksam sind.</w:t>
      </w:r>
    </w:p>
    <w:p>
      <w:r>
        <w:rPr>
          <w:color w:val="555555"/>
          <w:sz w:val="17"/>
        </w:rPr>
        <w:t xml:space="preserve">Zitiervorschlag: Art 8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