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 DMA — Verpflichtungen von Torwächtern, die möglicherweise noch durch Artikel 8 näher ausgeführt werden</w:t>
      </w:r>
    </w:p>
    <w:p>
      <w:r>
        <w:rPr>
          <w:color w:val="555555"/>
          <w:sz w:val="18"/>
        </w:rPr>
        <w:t xml:space="preserve">DMA</w:t>
      </w:r>
    </w:p>
    <w:p>
      <w:r>
        <w:rPr>
          <w:color w:val="555555"/>
          <w:sz w:val="18"/>
        </w:rPr>
        <w:t xml:space="preserve">Stand: 22.07.2026 (konsolidierte Textfassung, kein amtliches Inkrafttretensdatum)</w:t>
      </w:r>
    </w:p>
    <w:p>
      <w:r>
        <w:t xml:space="preserve">(1)</w:t>
      </w:r>
    </w:p>
    <w:p>
      <w:r>
        <w:t xml:space="preserve">(2) Für die Zwecke des Unterabsatzes 1 umfassen die nicht öffentlich zugänglichen Daten alle von gewerblichen Nutzern generierten aggregierten und nichtaggregierten Daten, die aus den kommerziellen Tätigkeiten gewerblicher Nutzer oder ihrer Kunden auf den betreffenden zentralen Plattformdiensten oder auf Diensten, die zusammen mit den betreffenden zentralen Plattformdiensten des Torwächters oder zu deren Unterstützung erbracht werden, abgeleitet oder durch diese erhoben werden können, einschließlich Klick-, Anfrage-, Ansichts- und Sprachdaten.</w:t>
      </w:r>
    </w:p>
    <w:p>
      <w:r>
        <w:t xml:space="preserve">(3) Der Torwächter gestattet es Endnutzern und ermöglicht es ihnen technisch, Standardeinstellungen des Betriebssystems, virtuellen Assistenten und Webbrowsers des Torwächters, die Endnutzer zu vom Torwächter angebotenen Produkten oder Dienstleistungen leiten oder lenken, auf einfache Weise zu ändern. Dazu gehört, dass Endnutzer bei der ersten Nutzung einer Online-Suchmaschine, eines virtuellen Assistenten oder eines Webbrowsers des Torwächters, die bzw. der im Benennungsbeschluss nach Artikel 3 Absatz 9 aufgeführt sind, aufgefordert werden, aus einer Liste der wesentlichen verfügbaren Diensteanbieter die Online-Suchmaschine, den virtuellen Assistenten oder den Webbrowser, auf die bzw. den das Betriebssystem des Torwächters Nutzer standardmäßig leitet oder lenkt, sowie die Online-Suchmaschine, auf die der virtuelle Assistent und der Webbrowser des Torwächters Nutzer standardmäßig leitet oder lenkt, auszuwählen.</w:t>
      </w:r>
    </w:p>
    <w:p>
      <w:r>
        <w:t xml:space="preserve">(4) Der Torwächter wird nicht daran gehindert, Maßnahmen zu ergreifen, soweit sie unbedingt erforderlich und angemessen sind, um sicherzustellen, dass Software-Anwendungen Dritter oder von Dritten betriebene Geschäfte für Software-Anwendungen die Integrität der vom Torwächter bereitgestellten Hardware oder des vom Torwächter bereitgestellten Betriebssystems nicht gefährden, sofern die Maßnahmen vom Torwächter hinreichend begründet werden. Darüber hinaus wird der Torwächter nicht daran gehindert, Maßnahmen und Einstellungen, die keine Standardeinstellungen sind, vorzunehmen, soweit sie unbedingt erforderlich und angemessen sind, die es Endnutzern ermöglichen, die Sicherheit in Bezug auf Software-Anwendungen Dritter oder von Dritten betriebene Geschäfte für Software-Anwendungen wirksam zu schützen, sofern die Maßnahmen und Einstellungen keine Standardeinstellungen sind und vom Torwächter hinreichend begründet werden.</w:t>
      </w:r>
    </w:p>
    <w:p>
      <w:r>
        <w:t xml:space="preserve">(5)</w:t>
      </w:r>
    </w:p>
    <w:p>
      <w:r>
        <w:t xml:space="preserve">(6)</w:t>
      </w:r>
    </w:p>
    <w:p>
      <w:r>
        <w:t xml:space="preserve">(7) Der Torwächter wird nicht daran gehindert, unbedingt erforderliche und angemessene Maßnahmen zu ergreifen, um sicherzustellen, dass die Integrität des Betriebssystems, des virtuellen Assistenten, der Hardware oder der Software-Funktionen, die vom Torwächter bereitgestellt werden, durch Interoperabilität nicht beeinträchtigt werden, sofern der Torwächter solche Maßnahmen hinreichend begründet.</w:t>
      </w:r>
    </w:p>
    <w:p>
      <w:r>
        <w:t xml:space="preserve">(8)</w:t>
      </w:r>
    </w:p>
    <w:p>
      <w:r>
        <w:t xml:space="preserve">(9)</w:t>
      </w:r>
    </w:p>
    <w:p>
      <w:r>
        <w:t xml:space="preserve">(10)</w:t>
      </w:r>
    </w:p>
    <w:p>
      <w:r>
        <w:t xml:space="preserve">(11)</w:t>
      </w:r>
    </w:p>
    <w:p>
      <w:r>
        <w:t xml:space="preserve">(12) Zu diesem Zweck veröffentlicht der Torwächter allgemeine Zugangsbedingungen, einschließlich eines alternativen Streitbeilegungsmechanismus. Die Kommission prüft, ob die veröffentlichten allgemeinen Zugangsbedingungen dem vorliegenden Absatz entsprechen.</w:t>
      </w:r>
    </w:p>
    <w:p>
      <w:r>
        <w:t xml:space="preserve">(13)</w:t>
      </w:r>
    </w:p>
    <w:p>
      <w:r>
        <w:rPr>
          <w:color w:val="555555"/>
          <w:sz w:val="17"/>
        </w:rPr>
        <w:t xml:space="preserve">Zitiervorschlag: Art 6 DMA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