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54 DMA — Inkrafttreten und Geltungsbeginn</w:t>
      </w:r>
    </w:p>
    <w:p>
      <w:r>
        <w:rPr>
          <w:color w:val="555555"/>
          <w:sz w:val="18"/>
        </w:rPr>
        <w:t xml:space="preserve">DMA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Diese Verordnung tritt am zwanzigsten Tag nach ihrer Veröffentlichung im Amtsblatt der Europäischen Union in Kraft.</w:t>
      </w:r>
    </w:p>
    <w:p>
      <w:r>
        <w:t xml:space="preserve">Sie gilt ab dem 2. Mai 2023.</w:t>
      </w:r>
    </w:p>
    <w:p>
      <w:r>
        <w:t xml:space="preserve">Artikel 3 Absätze 6 und 7 und die Artikel 40, 46, 47, 48, 49 und 50 gelten jedoch ab dem 1. November 2022, und die Artikel 42 und 43 gelten ab dem 25. Juni 2023.</w:t>
      </w:r>
    </w:p>
    <w:p>
      <w:r>
        <w:t xml:space="preserve">Liegt das Datum des 25. Juni 2023 jedoch vor dem in Unterabsatz 2 des vorliegenden Artikels genannten Datum des Geltungsbeginns, so wird die Anwendung der Artikel 42 und 43 bis zu dem in Unterabsatz 2 des vorliegenden Artikels genannten Datum des Geltungsbeginns verschoben.</w:t>
      </w:r>
    </w:p>
    <w:p>
      <w:r>
        <w:rPr>
          <w:color w:val="555555"/>
          <w:sz w:val="17"/>
        </w:rPr>
        <w:t xml:space="preserve">Zitiervorschlag: Art 54 DMA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https://recht.nulegal.eu/gesetze/DMA/54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