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DMA — Änderung der Richtlinie (EU) 2020/1828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Anhang I der Richtlinie (EU) 2020/1828 wird folgende Nummer angefügt:</w:t>
      </w:r>
    </w:p>
    <w:p>
      <w:r>
        <w:t xml:space="preserve">„67. Verordnung (EU) 2022/1925 des Europäischen Parlaments und des Rates vom 14. September 2022 über bestreitbare und faire Märkte im digitalen Sektor und zur Änderung der Richtlinien (EU) 2019/1937 und (EU) 2020/1828 (Gesetz über digitale Märkte) (ABl. L 265 vom 21.9.2022, S. 1).“</w:t>
      </w:r>
    </w:p>
    <w:p>
      <w:r>
        <w:rPr>
          <w:color w:val="555555"/>
          <w:sz w:val="17"/>
        </w:rPr>
        <w:t xml:space="preserve">Zitiervorschlag: Art 52 DMA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https://recht.nulegal.eu/gesetze/DMA/52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