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DMA — Ausübung der Befugnisübertragung</w:t>
      </w:r>
    </w:p>
    <w:p>
      <w:r>
        <w:rPr>
          <w:color w:val="555555"/>
          <w:sz w:val="18"/>
        </w:rPr>
        <w:t xml:space="preserve">DMA</w:t>
      </w:r>
    </w:p>
    <w:p>
      <w:r>
        <w:rPr>
          <w:color w:val="555555"/>
          <w:sz w:val="18"/>
        </w:rPr>
        <w:t xml:space="preserve">Stand: 22.07.2026 (konsolidierte Textfassung, kein amtliches Inkrafttretensdatum)</w:t>
      </w:r>
    </w:p>
    <w:p>
      <w:r>
        <w:t xml:space="preserve">(1) Die Befugnis zum Erlass delegierter Rechtsakte wird der Kommission unter den in diesem Artikel festgelegten Bedingungen übertragen.</w:t>
      </w:r>
    </w:p>
    <w:p>
      <w:r>
        <w:t xml:space="preserve">(2) Die Befugnis zum Erlass delegierter Rechtsakte gemäß Artikel 3 Absätze 6 und 7 und Artikel 12 Absätze 1, 3 und 4 wird der Kommission für einen Zeitraum von fünf Jahren ab dem 1. November 2022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r>
        <w:t xml:space="preserve">(3) Die Befugnisübertragung gemäß Artikel 3 Absätze 6 und 7und Artikel 12 Absätze 1, 3 und 4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p>
      <w:r>
        <w:t xml:space="preserve">(4) 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r>
        <w:t xml:space="preserve">(5) Sobald die Kommission einen delegierten Rechtsakt erlässt, übermittelt sie ihn gleichzeitig dem Europäischen Parlament und dem Rat.</w:t>
      </w:r>
    </w:p>
    <w:p>
      <w:r>
        <w:t xml:space="preserve">(6) Ein delegierter Rechtsakt, der gemäß Artikel 3 Absätze 6 und 7 und Artikel 12 Absätze 1, 3 und 4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r>
        <w:rPr>
          <w:color w:val="555555"/>
          <w:sz w:val="17"/>
        </w:rPr>
        <w:t xml:space="preserve">Zitiervorschlag: Art 49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