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46 DMA — Durchführungsvorschriften</w:t>
      </w:r>
    </w:p>
    <w:p>
      <w:r>
        <w:rPr>
          <w:color w:val="555555"/>
          <w:sz w:val="18"/>
        </w:rPr>
        <w:t xml:space="preserve">DMA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 Kommission kann Durchführungsrechtsakte zur Festlegung detaillierter Regelungen für die Anwendung von Folgendem erlassen:</w:t>
      </w:r>
    </w:p>
    <w:p>
      <w:r>
        <w:t xml:space="preserve">a) Form, Inhalt und sonstigen Einzelheiten der nach Artikel 3 zu übermittelnden Mitteilungen und Schriftsätze;</w:t>
      </w:r>
    </w:p>
    <w:p>
      <w:r>
        <w:t xml:space="preserve">b) Form, Inhalt und sonstigen Einzelheiten der technischen Maßnahmen, die von den Torwächtern durchzuführen sind, um die Einhaltung der Vorgaben des Artikels 5, 6 oder 7 zu gewährleisten;</w:t>
      </w:r>
    </w:p>
    <w:p>
      <w:r>
        <w:t xml:space="preserve">c) operativen und technischen Vorkehrungen im Hinblick auf die Umsetzung der Interoperabilität nummernunabhängiger interpersoneller Kommunikationsdienste nach Artikel 7;</w:t>
      </w:r>
    </w:p>
    <w:p>
      <w:r>
        <w:t xml:space="preserve">d) Form, Inhalt und sonstigen Einzelheiten der mit Gründen versehenen Anträge nach Artikel 8 Absatz 3;</w:t>
      </w:r>
    </w:p>
    <w:p>
      <w:r>
        <w:t xml:space="preserve">e) Form, Inhalt und sonstigen Einzelheiten der mit Gründen versehenen Anträge nach den Artikeln 9 und 10;</w:t>
      </w:r>
    </w:p>
    <w:p>
      <w:r>
        <w:t xml:space="preserve">f) Form, Inhalt und sonstigen Einzelheiten der nach Artikel 11 vorzulegenden Berichte über die Regulierungsmaßnahmen;</w:t>
      </w:r>
    </w:p>
    <w:p>
      <w:r>
        <w:t xml:space="preserve">g) Methodik und Verfahren der in Artikel 15 Absatz 1 vorgesehenen geprüften Beschreibung der Techniken zum Verbraucher-Profiling; bei der Ausarbeitung des Entwurfs eines Durchführungsrechtsakts für diesen Zweck konsultiert die Kommission den Europäischen Datenschutzbeauftragten, und sie kann den Europäischen Datenschutzausschuss, die Zivilgesellschaft und andere einschlägige Sachverständige konsultieren;</w:t>
      </w:r>
    </w:p>
    <w:p>
      <w:r>
        <w:t xml:space="preserve">h) Form, Inhalt und sonstigen Einzelheiten der nach den Artikeln 14 und 15 zu übermittelnden Mitteilungen und Schriftsätze;</w:t>
      </w:r>
    </w:p>
    <w:p>
      <w:r>
        <w:t xml:space="preserve">i) der praktischen Modalitäten der Einleitung von Verfahren zum Zwecke von Marktuntersuchungen im Sinne der Artikel 17, 18 und 19 sowie von Verfahren nach den Artikeln 24, 25 und 29;</w:t>
      </w:r>
    </w:p>
    <w:p>
      <w:r>
        <w:t xml:space="preserve">j) der praktischen Modalitäten der Ausübung des Anspruchs auf rechtliches Gehör nach Artikel 34;</w:t>
      </w:r>
    </w:p>
    <w:p>
      <w:r>
        <w:t xml:space="preserve">k) der praktischen Modalitäten der Offenlegungsbedingungen nach Artikel 34;</w:t>
      </w:r>
    </w:p>
    <w:p>
      <w:r>
        <w:t xml:space="preserve">l) der praktischen Modalitäten der Zusammenarbeit und Koordinierung zwischen der Kommission und den nationalen Behörden nach den Artikeln 37 und 38; und</w:t>
      </w:r>
    </w:p>
    <w:p>
      <w:r>
        <w:t xml:space="preserve">m) der praktischen Modalitäten für die Berechnung und Verlängerung von Fristen.</w:t>
      </w:r>
    </w:p>
    <w:p>
      <w:r>
        <w:t xml:space="preserve">(2) Die Durchführungsrechtsakte im Sinne von Absatz 1 Buchstaben a bis k und m dieses Artikels werden gemäß dem in Artikel 50 Absatz 2 genannten Beratungsverfahren erlassen.</w:t>
      </w:r>
    </w:p>
    <w:p>
      <w:r>
        <w:t xml:space="preserve">Der Durchführungsrechtsakt im Sinne von Absatz 1 Buchstabe l dieses Artikels wird gemäß dem in Artikel 50 Absatz 3 genannten Prüfverfahren erlassen.</w:t>
      </w:r>
    </w:p>
    <w:p>
      <w:r>
        <w:t xml:space="preserve">(3) Vor dem Erlass von Durchführungsrechtsakten nach Absatz 1 veröffentlicht die Kommission einen Entwurf davon und fordert alle Beteiligten auf, innerhalb einer Frist, die mindestens einen Monat betragen muss, zu dem Entwurf Stellung zu nehmen.</w:t>
      </w:r>
    </w:p>
    <w:p>
      <w:r>
        <w:rPr>
          <w:color w:val="555555"/>
          <w:sz w:val="17"/>
        </w:rPr>
        <w:t xml:space="preserve">Zitiervorschlag: Art 46 DMA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https://recht.nulegal.eu/gesetze/DMA/46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