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DMA — Ermessensnachprüfung durch den Gerichtshof</w:t>
      </w:r>
    </w:p>
    <w:p>
      <w:r>
        <w:rPr>
          <w:color w:val="555555"/>
          <w:sz w:val="18"/>
        </w:rPr>
        <w:t xml:space="preserve">DMA</w:t>
      </w:r>
    </w:p>
    <w:p>
      <w:r>
        <w:rPr>
          <w:color w:val="555555"/>
          <w:sz w:val="18"/>
        </w:rPr>
        <w:t xml:space="preserve">Stand: 22.07.2026 (konsolidierte Textfassung, kein amtliches Inkrafttretensdatum)</w:t>
      </w:r>
    </w:p>
    <w:p>
      <w:r>
        <w:t xml:space="preserve">Nach Artikel 261 AEUV hat der Gerichtshof die Befugnis zu unbeschränkter Ermessensnachprüfung von Beschlüssen, mit denen die Kommission Geldbußen oder Zwangsgelder verhängt hat. Er kann die verhängten Geldbußen oder Zwangsgelder aufheben, herabsetzen oder erhöhen.</w:t>
      </w:r>
    </w:p>
    <w:p>
      <w:r>
        <w:rPr>
          <w:color w:val="555555"/>
          <w:sz w:val="17"/>
        </w:rPr>
        <w:t xml:space="preserve">Zitiervorschlag: Art 45 DMA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https://recht.nulegal.eu/gesetze/DMA/45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