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DMA — Ersuchen um Einleitung einer Marktuntersuchung</w:t>
      </w:r>
    </w:p>
    <w:p>
      <w:r>
        <w:rPr>
          <w:color w:val="555555"/>
          <w:sz w:val="18"/>
        </w:rPr>
        <w:t xml:space="preserve">DMA</w:t>
      </w:r>
    </w:p>
    <w:p>
      <w:r>
        <w:rPr>
          <w:color w:val="555555"/>
          <w:sz w:val="18"/>
        </w:rPr>
        <w:t xml:space="preserve">Stand: 22.07.2026 (konsolidierte Textfassung, kein amtliches Inkrafttretensdatum)</w:t>
      </w:r>
    </w:p>
    <w:p>
      <w:r>
        <w:t xml:space="preserve">(1) Drei oder mehr Mitgliedstaaten können die Kommission ersuchen, eine Marktuntersuchung nach Artikel 17 einzuleiten, weil ihres Erachtens hinreichende Gründe dafür sprechen, dass ein Unternehmen als Torwächter benannt werden sollte.</w:t>
      </w:r>
    </w:p>
    <w:p>
      <w:r>
        <w:t xml:space="preserve">(2) Ein oder mehrere Mitgliedstaaten können die Kommission ersuchen, eine Marktuntersuchung nach Artikel 18 einzuleiten, weil ihres Erachtens hinreichende Gründe dafür sprechen, dass ein Torwächter eine oder mehrere der in den Artikeln 5, 6 und 7 festgelegten Verpflichtungen systematisch nicht einhält und seine Torwächter-Position im Hinblick auf die in Artikel 3 Absatz 1 genannten Anforderungen beibehalten, gestärkt oder ausgeweitet hat.</w:t>
      </w:r>
    </w:p>
    <w:p>
      <w:r>
        <w:t xml:space="preserve">(3) Drei oder mehr Mitgliedstaaten können die Kommission ersuchen, eine Marktuntersuchung nach Artikel 19 durchzuführen, weil ihres Erachtens hinreichende Gründe dafür sprechen, dass</w:t>
      </w:r>
    </w:p>
    <w:p>
      <w:r>
        <w:t xml:space="preserve">a) ein oder mehrere Dienste des digitalen Sektors in die Liste der zentralen Plattformdienste nach Artikel 2 Nummer 2 aufgenommen werden sollten oder</w:t>
      </w:r>
    </w:p>
    <w:p>
      <w:r>
        <w:t xml:space="preserve">b) eine oder mehrere Praktiken nicht wirksam durch diese Verordnung angegangen werden und die Bestreitbarkeit zentraler Plattformdienste beschränken oder unfair sein könnten.</w:t>
      </w:r>
    </w:p>
    <w:p>
      <w:r>
        <w:t xml:space="preserve">(4) Die Mitgliedstaaten legen Belege zur Untermauerung ihres Ersuchens nach den Absätzen 1, 2 und 3 vor. Bei Ersuchen nach Absatz 3 können diese Belege Informationen über neu eingeführte Angebote von Produkten, Diensten, Software oder Merkmalen umfassen, die Bedenken hinsichtlich der Bestreitbarkeit oder Fairness aufwerfen, unabhängig davon, ob sie im Zusammenhang mit bestehenden zentralen Plattformdiensten oder auf andere Weise umgesetzt werden.</w:t>
      </w:r>
    </w:p>
    <w:p>
      <w:r>
        <w:t xml:space="preserve">(5) Innerhalb von vier Monaten nach Erhalt eines Ersuchens gemäß diesem Artikel prüft die Kommission, ob hinreichende Gründe dafür sprechen, eine Marktuntersuchung nach den Absätzen 1, 2 oder 3 einzuleiten. Die Kommission veröffentlicht die Ergebnisse ihrer Bewertung.</w:t>
      </w:r>
    </w:p>
    <w:p>
      <w:r>
        <w:rPr>
          <w:color w:val="555555"/>
          <w:sz w:val="17"/>
        </w:rPr>
        <w:t xml:space="preserve">Zitiervorschlag: Art 41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https://recht.nulegal.eu/gesetze/DMA/41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