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DMA — Jährliche Berichterstattung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übermittelt dem Europäischen Parlament und dem Rat einen jährlichen Bericht über die Umsetzung dieser Verordnung und die Fortschritte bei der Erreichung ihrer Ziele.</w:t>
      </w:r>
    </w:p>
    <w:p>
      <w:r>
        <w:t xml:space="preserve">(2) Der in Absatz 1 genannte Bericht enthält Folgendes:</w:t>
      </w:r>
    </w:p>
    <w:p>
      <w:r>
        <w:t xml:space="preserve">a) eine Zusammenfassung der Tätigkeiten der Kommission, einschließlich etwaiger angenommener Maßnahmen oder Beschlüsse und laufender Marktuntersuchungen im Zusammenhang mit dieser Verordnung;</w:t>
      </w:r>
    </w:p>
    <w:p>
      <w:r>
        <w:t xml:space="preserve">b) die Ergebnisse aus der Überwachung der Umsetzung der Verpflichtungen nach dieser Verordnung durch die Torwächter;</w:t>
      </w:r>
    </w:p>
    <w:p>
      <w:r>
        <w:t xml:space="preserve">c) eine Bewertung der in Artikel 15 genannten geprüften Beschreibung;</w:t>
      </w:r>
    </w:p>
    <w:p>
      <w:r>
        <w:t xml:space="preserve">d) eine Übersicht über die Zusammenarbeit zwischen der Kommission und den nationalen Behörden im Zusammenhang mit dieser Verordnung;</w:t>
      </w:r>
    </w:p>
    <w:p>
      <w:r>
        <w:t xml:space="preserve">e) eine Übersicht über die Tätigkeiten und Aufgaben der hochrangigen Gruppe digitaler Regulierungsbehörden, einschließlich der Art und Weise, wie ihre Empfehlungen bezüglich der Durchsetzung dieser Verordnung umzusetzen sind.</w:t>
      </w:r>
    </w:p>
    <w:p>
      <w:r>
        <w:t xml:space="preserve">(3) Die Kommission veröffentlicht den Bericht auf ihrer Internetseite.</w:t>
      </w:r>
    </w:p>
    <w:p>
      <w:r>
        <w:rPr>
          <w:color w:val="555555"/>
          <w:sz w:val="17"/>
        </w:rPr>
        <w:t xml:space="preserve">Zitiervorschlag: Art 35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https://recht.nulegal.eu/gesetze/DMA/35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