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DMA — Verjährungsfrist für die Durchsetzung von Sanktionen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Für die Befugnis der Kommission zur Durchsetzung von nach Artikel 30 oder Artikel 31 erlassenen Beschlüssen gilt eine Verjährungsfrist von fünf Jahren.</w:t>
      </w:r>
    </w:p>
    <w:p>
      <w:r>
        <w:t xml:space="preserve">(2) Die Frist läuft ab dem Tag, an dem der Beschluss rechtskräftig wird.</w:t>
      </w:r>
    </w:p>
    <w:p>
      <w:r>
        <w:t xml:space="preserve">(3) Die Verjährungsfrist für die Durchsetzung von Sanktionen wird unterbrochen durch</w:t>
      </w:r>
    </w:p>
    <w:p>
      <w:r>
        <w:t xml:space="preserve">a) die Bekanntgabe eines Beschlusses, durch den der ursprüngliche Betrag der Geldbuße oder des Zwangsgelds geändert oder ein Antrag auf eine solche Änderung abgelehnt wird, oder</w:t>
      </w:r>
    </w:p>
    <w:p>
      <w:r>
        <w:t xml:space="preserve">b) jede auf zwangsweise Beitreibung der Geldbuße oder des Zwangsgelds gerichtete Maßnahme der Kommission oder eines Mitgliedstaats, der auf Ersuchen der Kommission handelt.</w:t>
      </w:r>
    </w:p>
    <w:p>
      <w:r>
        <w:t xml:space="preserve">(4) Nach jeder Unterbrechung beginnt die Frist von Neuem.</w:t>
      </w:r>
    </w:p>
    <w:p>
      <w:r>
        <w:t xml:space="preserve">(5) Die Verjährungsfrist für die Durchsetzung von Sanktionen ruht, solange</w:t>
      </w:r>
    </w:p>
    <w:p>
      <w:r>
        <w:t xml:space="preserve">a) eine Zahlungsfrist bewilligt ist oder</w:t>
      </w:r>
    </w:p>
    <w:p>
      <w:r>
        <w:t xml:space="preserve">b) die Zwangsvollstreckung durch eine Entscheidung des Gerichtshofs oder eine Entscheidung eines nationalen Gerichts ausgesetzt ist.</w:t>
      </w:r>
    </w:p>
    <w:p>
      <w:r>
        <w:rPr>
          <w:color w:val="555555"/>
          <w:sz w:val="17"/>
        </w:rPr>
        <w:t xml:space="preserve">Zitiervorschlag: Art 33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https://recht.nulegal.eu/gesetze/DMA/33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