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DMA — Nichteinhaltung</w:t>
      </w:r>
    </w:p>
    <w:p>
      <w:r>
        <w:rPr>
          <w:color w:val="555555"/>
          <w:sz w:val="18"/>
        </w:rPr>
        <w:t xml:space="preserve">DMA</w:t>
      </w:r>
    </w:p>
    <w:p>
      <w:r>
        <w:rPr>
          <w:color w:val="555555"/>
          <w:sz w:val="18"/>
        </w:rPr>
        <w:t xml:space="preserve">Stand: 22.07.2026 (konsolidierte Textfassung, kein amtliches Inkrafttretensdatum)</w:t>
      </w:r>
    </w:p>
    <w:p>
      <w:r>
        <w:t xml:space="preserve">(1) Die Kommission erlässt einen Durchführungsrechtsakt, in dem ihre Feststellung der Nichteinhaltung dargelegt wird (im Folgenden „Nichteinhaltungsbeschluss“), wenn sie feststellt, dass ein Torwächter</w:t>
      </w:r>
    </w:p>
    <w:p>
      <w:r>
        <w:t xml:space="preserve">a) eine der in den Artikeln 5, 6 oder 7 genannten Verpflichtungen nicht erfüllt,</w:t>
      </w:r>
    </w:p>
    <w:p>
      <w:r>
        <w:t xml:space="preserve">b) den von der Kommission durch einen nach Artikel 8 Absatz 2 erlassenen Beschluss festgelegten Maßnahmen nicht nachkommt,</w:t>
      </w:r>
    </w:p>
    <w:p>
      <w:r>
        <w:t xml:space="preserve">c) nach Artikel 18 Absatz 1 verhängten Abhilfemaßnahmen nicht nachkommt,</w:t>
      </w:r>
    </w:p>
    <w:p>
      <w:r>
        <w:t xml:space="preserve">d) nach Artikel 24 angeordneten einstweiligen Maßnahmen nicht nachkommt, oder</w:t>
      </w:r>
    </w:p>
    <w:p>
      <w:r>
        <w:t xml:space="preserve">e) Verpflichtungszusagen, die nach Artikel 25 für bindend erklärt wurden, nicht einhält.</w:t>
      </w:r>
    </w:p>
    <w:p>
      <w:r>
        <w:t xml:space="preserve">Dieser Durchführungsrechtsakt wird gemäß dem in Artikel 50 Absatz 2 genannten Beratungsverfahren erlassen.</w:t>
      </w:r>
    </w:p>
    <w:p>
      <w:r>
        <w:t xml:space="preserve">(2) Die Kommission bemüht sich, ihren Nichteinhaltungsbeschluss innerhalb von zwölf Monaten nach Einleitung des Verfahrens gemäß Artikel 20 zu erlassen.</w:t>
      </w:r>
    </w:p>
    <w:p>
      <w:r>
        <w:t xml:space="preserve">(3) Vor Erlass des Nichteinhaltungsbeschlusses teilt die Kommission dem betreffenden Torwächter ihre vorläufige Beurteilung mit. In dieser vorläufigen Beurteilung erläutert die Kommission, welche Maßnahmen sie zu ergreifen beabsichtigt bzw. der Torwächter ergreifen sollte, um der vorläufigen Beurteilung wirksam Rechnung zu tragen.</w:t>
      </w:r>
    </w:p>
    <w:p>
      <w:r>
        <w:t xml:space="preserve">(4) Die Kommission kann Dritte konsultieren, wenn sie beabsichtigt, einen Nichteinhaltungsbeschluss zu erlassen.</w:t>
      </w:r>
    </w:p>
    <w:p>
      <w:r>
        <w:t xml:space="preserve">(5) In dem Nichteinhaltungsbeschluss fordert die Kommission den Torwächter auf, die Nichteinhaltung innerhalb einer angemessenen Frist abzustellen und zu erläutern, wie er diesem Beschluss nachzukommen gedenkt.</w:t>
      </w:r>
    </w:p>
    <w:p>
      <w:r>
        <w:t xml:space="preserve">(6) Der Torwächter übermittelt der Kommission eine Beschreibung der Maßnahmen, die er ergriffen hat, um die Einhaltung des Nichteinhaltungsbeschlusses sicherzustellen.</w:t>
      </w:r>
    </w:p>
    <w:p>
      <w:r>
        <w:t xml:space="preserve">(7) Entscheidet die Kommission, keinen Nichteinhaltungsbeschluss zu erlassen, so schließt sie das Verfahren im Wege eines Beschlusses ab.</w:t>
      </w:r>
    </w:p>
    <w:p>
      <w:r>
        <w:rPr>
          <w:color w:val="555555"/>
          <w:sz w:val="17"/>
        </w:rPr>
        <w:t xml:space="preserve">Zitiervorschlag: Art 29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https://recht.nulegal.eu/gesetze/DMA/29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