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DMA — Einleitung eines Verfahrens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Beabsichtigt die Kommission, ein Verfahren im Hinblick auf den möglichen Erlass von Beschlüssen nach Artikel 8, 29 oder 30 einzuleiten, so erlässt sie einen Beschluss zur Einleitung eines Verfahrens.</w:t>
      </w:r>
    </w:p>
    <w:p>
      <w:r>
        <w:t xml:space="preserve">(2) Ungeachtet des Absatzes 1 kann die Kommission ihre Untersuchungsbefugnisse nach dieser Verordnung ausüben, bevor sie ein Verfahren gemäß dem genannten Absatz einleitet.</w:t>
      </w:r>
    </w:p>
    <w:p>
      <w:r>
        <w:rPr>
          <w:color w:val="555555"/>
          <w:sz w:val="17"/>
        </w:rPr>
        <w:t xml:space="preserve">Zitiervorschlag: Art 20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https://recht.nulegal.eu/gesetze/DMA/20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