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DMA — Begriffsbestimmungen</w:t>
      </w:r>
    </w:p>
    <w:p>
      <w:r>
        <w:rPr>
          <w:color w:val="555555"/>
          <w:sz w:val="18"/>
        </w:rPr>
        <w:t xml:space="preserve">DMA</w:t>
      </w:r>
    </w:p>
    <w:p>
      <w:r>
        <w:rPr>
          <w:color w:val="555555"/>
          <w:sz w:val="18"/>
        </w:rPr>
        <w:t xml:space="preserve">Stand: 22.07.2026 (konsolidierte Textfassung, kein amtliches Inkrafttretensdatum)</w:t>
      </w:r>
    </w:p>
    <w:p>
      <w:r>
        <w:t xml:space="preserve">Für die Zwecke dieser Verordnung bezeichnet der Ausdruck</w:t>
      </w:r>
    </w:p>
    <w:p>
      <w:r>
        <w:t xml:space="preserve">1. „Torwächter“ ein Unternehmen, das zentrale Plattformdienste bereitstellt und nach Artikel 3 benannt worden ist;</w:t>
      </w:r>
    </w:p>
    <w:p>
      <w:r>
        <w:t xml:space="preserve">2. „zentraler Plattformdienst“ die folgenden Dienste:</w:t>
      </w:r>
    </w:p>
    <w:p>
      <w:r>
        <w:t xml:space="preserve">a) Online-Vermittlungsdienste,</w:t>
      </w:r>
    </w:p>
    <w:p>
      <w:r>
        <w:t xml:space="preserve">b) Online-Suchmaschinen,</w:t>
      </w:r>
    </w:p>
    <w:p>
      <w:r>
        <w:t xml:space="preserve">c) Online-Dienste sozialer Netzwerke,</w:t>
      </w:r>
    </w:p>
    <w:p>
      <w:r>
        <w:t xml:space="preserve">d) Video-Sharing-Plattform-Dienste,</w:t>
      </w:r>
    </w:p>
    <w:p>
      <w:r>
        <w:t xml:space="preserve">e) nummernunabhängige interpersonelle Kommunikationsdienste,</w:t>
      </w:r>
    </w:p>
    <w:p>
      <w:r>
        <w:t xml:space="preserve">f) Betriebssysteme,</w:t>
      </w:r>
    </w:p>
    <w:p>
      <w:r>
        <w:t xml:space="preserve">g) Webbrowser,</w:t>
      </w:r>
    </w:p>
    <w:p>
      <w:r>
        <w:t xml:space="preserve">h) virtuelle Assistenten,</w:t>
      </w:r>
    </w:p>
    <w:p>
      <w:r>
        <w:t xml:space="preserve">i) Cloud-Computing-Dienste,</w:t>
      </w:r>
    </w:p>
    <w:p>
      <w:r>
        <w:t xml:space="preserve">j) Online-Werbedienste, einschließlich Werbenetzwerken, Werbebörsen und sonstiger Werbevermittlungsdienste, die von einem Unternehmen, das einen der unter den Buchstaben a bis i genannten zentralen Plattformdienste bereitstellt, bereitgestellt werden;</w:t>
      </w:r>
    </w:p>
    <w:p>
      <w:r>
        <w:t xml:space="preserve">3. „Dienst der Informationsgesellschaft“ einen Dienst im Sinne des Artikels 1 Absatz 1 Buchstabe b der Richtlinie (EU) 2015/1535;</w:t>
      </w:r>
    </w:p>
    <w:p>
      <w:r>
        <w:t xml:space="preserve">4. „digitaler Sektor“ den Sektor der Produkte und Dienstleistungen, die durch Dienste der Informationsgesellschaft bereitgestellt werden;</w:t>
      </w:r>
    </w:p>
    <w:p>
      <w:r>
        <w:t xml:space="preserve">5. „Online-Vermittlungsdienste“ Online-Vermittlungsdienste im Sinne des Artikels 2 Nummer 2 der Verordnung (EU) 2019/1150;</w:t>
      </w:r>
    </w:p>
    <w:p>
      <w:r>
        <w:t xml:space="preserve">6. „Online-Suchmaschine“ eine Online-Suchmaschine im Sinne des Artikels 2 Nummer 5 der Verordnung (EU) 2019/1150;</w:t>
      </w:r>
    </w:p>
    <w:p>
      <w:r>
        <w:t xml:space="preserve">7. „Online-Dienst eines sozialen Netzwerks“ eine Plattform, auf der Endnutzer mit unterschiedlichen Geräten insbesondere durch Unterhaltungen, Beiträge, Videos und Empfehlungen miteinander in Kontakt treten und kommunizieren sowie Inhalte teilen und andere Nutzer und Inhalte entdecken können;</w:t>
      </w:r>
    </w:p>
    <w:p>
      <w:r>
        <w:t xml:space="preserve">8. „Video-Sharing-Plattform-Dienst“ einen Video-Sharing-Plattform-Dienst im Sinne des Artikels 1 Absatz 1 Buchstabe aa der Richtlinie 2010/13/EU;</w:t>
      </w:r>
    </w:p>
    <w:p>
      <w:r>
        <w:t xml:space="preserve">9. „nummernunabhängiger interpersoneller Kommunikationsdienst“ einen nummernunabhängigen interpersonellen Kommunikationsdienst im Sinne des Artikels 2 Nummer 7 der Richtlinie (EU) 2018/1972;</w:t>
      </w:r>
    </w:p>
    <w:p>
      <w:r>
        <w:t xml:space="preserve">10. „Betriebssystem“ eine Systemsoftware, die die Grundfunktionen der Hardware oder Software steuert und die Ausführung von Software-Anwendungen ermöglicht;</w:t>
      </w:r>
    </w:p>
    <w:p>
      <w:r>
        <w:t xml:space="preserve">11. „Webbrowser“ eine Software-Anwendung, die Endnutzern den Zugriff auf und die Interaktion mit Web-Inhalten ermöglicht, die auf Servern gehostet werden, welche mit Netzwerken wie dem Internet verbunden sind, einschließlich eigenständiger Webbrowser sowie in Software integrierter oder eingebetteter oder vergleichbarer Webbrowser;</w:t>
      </w:r>
    </w:p>
    <w:p>
      <w:r>
        <w:t xml:space="preserve">12. „virtueller Assistent“ eine Software, die Aufträge, Aufgaben oder Fragen verarbeiten kann, auch aufgrund von Eingaben in Ton-, Bild- und Schriftform, Gesten oder Bewegungen, und die auf der Grundlage dieser Aufträge, Aufgaben oder Fragen den Zugang zu anderen Diensten ermöglicht oder angeschlossene physische Geräte steuert;</w:t>
      </w:r>
    </w:p>
    <w:p>
      <w:r>
        <w:t xml:space="preserve">13. „Cloud-Computing-Dienst“ einen Cloud-Computing-Dienst im Sinne des Artikels 4 Nummer 19 der Richtlinie (EU) 2016/1148 des Europäischen Parlaments und des Rates ( 2 );</w:t>
      </w:r>
    </w:p>
    <w:p>
      <w:r>
        <w:t xml:space="preserve">14. „Geschäfte für Software-Anwendungen“ Online-Vermittlungsdienste, durch die in erster Linie Software-Anwendungen als Produkt oder Dienstleistung vermittelt werden;</w:t>
      </w:r>
    </w:p>
    <w:p>
      <w:r>
        <w:t xml:space="preserve">15. „Software-Anwendung“ ein digitales Produkt oder eine digitale Dienstleistung, das bzw. die über ein Betriebssystem genutzt wird;</w:t>
      </w:r>
    </w:p>
    <w:p>
      <w:r>
        <w:t xml:space="preserve">16. „Zahlungsdienst“ einen Zahlungsdienst im Sinne des Artikels 4 Nummer 3 der Richtlinie (EU) 2015/2366;</w:t>
      </w:r>
    </w:p>
    <w:p>
      <w:r>
        <w:t xml:space="preserve">17. „technischer Dienst zur Unterstützung von Zahlungsdiensten“ einen Dienst im Sinne des Artikels 3 Buchstabe j der Richtlinie (EU) 2015/2366;</w:t>
      </w:r>
    </w:p>
    <w:p>
      <w:r>
        <w:t xml:space="preserve">18. „Zahlungssystem für in der Software-Anwendung integrierte Käufe“ eine Software-Anwendung, einen Dienst oder eine Benutzeroberfläche, die den Kauf digitaler Inhalte oder digitaler Dienste innerhalb einer Software-Anwendung, einschließlich Inhalten, Abonnements, Merkmalen oder Funktionen, und die Zahlungen für solche Käufe ermöglicht;</w:t>
      </w:r>
    </w:p>
    <w:p>
      <w:r>
        <w:t xml:space="preserve">19. „Identifizierungsdienst“ einen Dienst, der zusammen mit oder zur Unterstützung von zentralen Plattformdiensten erbracht wird und unabhängig von der verwendeten Technologie eine Überprüfung der Identität von Endnutzern oder gewerblichen Nutzern ermöglicht;</w:t>
      </w:r>
    </w:p>
    <w:p>
      <w:r>
        <w:t xml:space="preserve">20. „Endnutzer“ eine natürliche oder juristische Person, die zentrale Plattformdienste nutzt und nicht als gewerblicher Nutzer auftritt;</w:t>
      </w:r>
    </w:p>
    <w:p>
      <w:r>
        <w:t xml:space="preserve">21. „gewerblicher Nutzer“ eine natürliche oder juristische Person, die im Rahmen einer geschäftlichen oder beruflichen Tätigkeit zentrale Plattformdienste zum Zweck oder im Zuge der Bereitstellung von Waren oder Dienstleistungen für Endnutzer nutzt;</w:t>
      </w:r>
    </w:p>
    <w:p>
      <w:r>
        <w:t xml:space="preserve">22. „Ranking“ die relative Hervorhebung von Waren und Dienstleistungen, die über Online-Vermittlungsdienste, Online-Dienste sozialer Netzwerke, Video-Sharing-Plattform-Dienste oder virtuelle Assistenten angeboten werden, oder die Relevanz, die den Suchergebnissen von Online-Suchmaschinen mittels entsprechender Darstellung, Organisation oder Kommunikation durch die Unternehmen, die Online-Vermittlungsdienste, Online-Dienste sozialer Netzwerke, Video-Sharing-Plattform-Dienste, virtuelle Assistenten oder Online-Suchmaschinen anbieten, zugemessen wird, unabhängig von den für diese Darstellung, Organisation oder Kommunikation verwendeten technischen Mitteln und unabhängig davon, ob nur ein einziges Ergebnis dargestellt oder kommuniziert wird;</w:t>
      </w:r>
    </w:p>
    <w:p>
      <w:r>
        <w:t xml:space="preserve">23. „Suchergebnisse“ alle Informationen in beliebigem Format, darunter in Text-, grafischer, gesprochener oder sonstiger Form, die als Antwort auf eine Suchanfrage ausgegeben werden und sich auf diese beziehen, unabhängig davon, ob es sich bei den ausgegebenen Informationen um ein bezahltes oder ein unbezahltes Ergebnis, eine direkte Antwort oder ein Produkt, eine Dienstleistung oder eine Information handelt, das bzw. die in Verbindung mit den organischen Ergebnissen angeboten oder zusammen mit diesen angezeigt wird oder teilweise oder vollständig in diese eingebettet ist;</w:t>
      </w:r>
    </w:p>
    <w:p>
      <w:r>
        <w:t xml:space="preserve">24. „Daten“ jegliche digitale Darstellung von Handlungen, Tatsachen oder Informationen sowie jegliche Zusammenstellung solcher Handlungen, Tatsachen oder Informationen, auch in Form von Ton-, Bild- oder audiovisuellem Material;</w:t>
      </w:r>
    </w:p>
    <w:p>
      <w:r>
        <w:t xml:space="preserve">25. „personenbezogene Daten“ personenbezogene Daten im Sinne des Artikels 4 Nummer 1 der Verordnung (EU) 2016/679;</w:t>
      </w:r>
    </w:p>
    <w:p>
      <w:r>
        <w:t xml:space="preserve">26. „nicht personenbezogene Daten“ Daten, bei denen es sich nicht um personenbezogene Daten handelt;</w:t>
      </w:r>
    </w:p>
    <w:p>
      <w:r>
        <w:t xml:space="preserve">27. „Unternehmen“ eine Einheit, die eine wirtschaftliche Tätigkeit ausübt, unabhängig von ihrer Rechtsform und der Art ihrer Finanzierung, einschließlich aller verbundenen Unternehmen, die durch die unmittelbare oder mittelbare Kontrolle eines Unternehmens durch ein anderes Unternehmen eine Gruppe bilden;</w:t>
      </w:r>
    </w:p>
    <w:p>
      <w:r>
        <w:t xml:space="preserve">28. „Kontrolle“ die Möglichkeit, im Sinne des Artikels 3 Absatz 2 der Verordnung (EG) Nr. 139/2004 bestimmenden Einfluss auf ein Unternehmen auszuüben;</w:t>
      </w:r>
    </w:p>
    <w:p>
      <w:r>
        <w:t xml:space="preserve">29. „Interoperabilität“ die Fähigkeit, Informationen auszutauschen und die über Schnittstellen oder andere Lösungen ausgetauschten Informationen beiderseitig zu nutzen, sodass alle Hardware- oder Softwarekomponenten mit anderer Hardware und Software auf die vorgesehene Weise zusammenwirken und bei Nutzern auf die vorgesehene Weise funktionieren;</w:t>
      </w:r>
    </w:p>
    <w:p>
      <w:r>
        <w:t xml:space="preserve">30. „Umsatz“ den von einem Unternehmen erzielten Umsatz im Sinne des Artikels 5 Absatz 1 der Verordnung (EG) Nr. 139/2004;</w:t>
      </w:r>
    </w:p>
    <w:p>
      <w:r>
        <w:t xml:space="preserve">31. „Profiling“ ein Profiling im Sinne des Artikels 4 Nummer 4 der Verordnung (EU) 2016/679;</w:t>
      </w:r>
    </w:p>
    <w:p>
      <w:r>
        <w:t xml:space="preserve">32. „Einwilligung“ eine Einwilligung im Sinne des Artikels 4 Nummer 11 der Verordnung (EU) 2016/679;</w:t>
      </w:r>
    </w:p>
    <w:p>
      <w:r>
        <w:t xml:space="preserve">33. „nationales Gericht“ ein Gericht eines Mitgliedstaats im Sinne des Artikels 267 AEUV.</w:t>
      </w:r>
    </w:p>
    <w:p>
      <w:r>
        <w:rPr>
          <w:color w:val="555555"/>
          <w:sz w:val="17"/>
        </w:rPr>
        <w:t xml:space="preserve">Zitiervorschlag: Art 2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