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DMA — Marktuntersuchung in Bezug auf neue Dienste und neue Praktiken</w:t>
      </w:r>
    </w:p>
    <w:p>
      <w:r>
        <w:rPr>
          <w:color w:val="555555"/>
          <w:sz w:val="18"/>
        </w:rPr>
        <w:t xml:space="preserve">DMA</w:t>
      </w:r>
    </w:p>
    <w:p>
      <w:r>
        <w:rPr>
          <w:color w:val="555555"/>
          <w:sz w:val="18"/>
        </w:rPr>
        <w:t xml:space="preserve">Stand: 22.07.2026 (konsolidierte Textfassung, kein amtliches Inkrafttretensdatum)</w:t>
      </w:r>
    </w:p>
    <w:p>
      <w:r>
        <w:t xml:space="preserve">(1) Die Kommission kann eine Marktuntersuchung durchführen, um zu prüfen, ob ein oder mehrere Dienste des digitalen Sektors in die Liste der zentralen Plattformdienste nach Artikel 2 Nummer 2 aufgenommen werden sollten, oder um Praktiken aufzudecken, die die Bestreitbarkeit zentraler Plattformdienste beschränken oder unfair sind, und denen durch diese Verordnung nicht wirksam begegnet wird. In ihrer Bewertung berücksichtigt die Kommission alle einschlägigen Ergebnisse der Verfahren nach den Artikeln 101 und 102 AEUV in Bezug auf digitale Märkte sowie alle sonstigen relevanten Entwicklungen.</w:t>
      </w:r>
    </w:p>
    <w:p>
      <w:r>
        <w:t xml:space="preserve">(2) Die Kommission kann bei der Durchführung einer Marktuntersuchung nach Absatz 1 Dritte konsultieren, unter anderem gewerbliche Nutzer und Endnutzer von Diensten des digitalen Sektors, die Gegenstand der Untersuchung sind, sowie gewerbliche Nutzer und Endnutzer, die Praktiken unterliegen, die Gegenstand der Untersuchung sind.</w:t>
      </w:r>
    </w:p>
    <w:p>
      <w:r>
        <w:t xml:space="preserve">(3) Die Kommission veröffentlicht ihre Beurteilung innerhalb von 18 Monaten nach dem in Artikel 16 Absatz 3 Buchstabe a genannten Zeitpunkt in einem Bericht.</w:t>
      </w:r>
    </w:p>
    <w:p>
      <w:r>
        <w:t xml:space="preserve">Dieser Bericht wird gegebenenfalls dem Europäischen Parlament und dem Rat zusammen mit Folgendem übermittelt:</w:t>
      </w:r>
    </w:p>
    <w:p>
      <w:r>
        <w:t xml:space="preserve">a) einem Gesetzgebungsvorschlag zur Änderung dieser Verordnung, um zusätzliche Dienste des digitalen Sektors in die Liste der zentralen Plattformdienste nach Artikel 2 Nummer 2 oder neue Verpflichtungen in Kapitel III aufzunehmen, oder</w:t>
      </w:r>
    </w:p>
    <w:p>
      <w:r>
        <w:t xml:space="preserve">b) einem Entwurf eines delegierten Rechtsakts zur Ergänzung dieser Verordnung in Bezug auf die in den Artikeln 5 und 6 festgelegten Verpflichtungen, oder einem Entwurf eines delegierten Rechtsakts zur Änderung oder Ergänzung dieser Verordnung in Bezug auf die in Artikel 7 festgelegten Verpflichtungen, wie in Artikel 12 vorgesehen.</w:t>
      </w:r>
    </w:p>
    <w:p>
      <w:r>
        <w:t xml:space="preserve">Gegebenenfalls kann in dem unter Unterabsatz 2 Buchstabe a genannten Gesetzgebungsvorschlag zur Änderung dieser Verordnung auch vorgeschlagen werden, bestehende Dienste aus der Liste der zentralen Plattformdienste nach Artikel 2 Nummer 2 zu streichen oder bestehende Verpflichtungen aus Artikel 5, 6 oder 7 zu streichen.</w:t>
      </w:r>
    </w:p>
    <w:p>
      <w:r>
        <w:rPr>
          <w:color w:val="555555"/>
          <w:sz w:val="17"/>
        </w:rPr>
        <w:t xml:space="preserve">Zitiervorschlag: Art 19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https://recht.nulegal.eu/gesetze/DMA/19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