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DMA — Prüfungspflicht</w:t>
      </w:r>
    </w:p>
    <w:p>
      <w:r>
        <w:rPr>
          <w:color w:val="555555"/>
          <w:sz w:val="18"/>
        </w:rPr>
        <w:t xml:space="preserve">DMA</w:t>
      </w:r>
    </w:p>
    <w:p>
      <w:r>
        <w:rPr>
          <w:color w:val="555555"/>
          <w:sz w:val="18"/>
        </w:rPr>
        <w:t xml:space="preserve">Stand: 22.07.2026 (konsolidierte Textfassung, kein amtliches Inkrafttretensdatum)</w:t>
      </w:r>
    </w:p>
    <w:p>
      <w:r>
        <w:t xml:space="preserve">(1) Der Torwächter legt der Kommission innerhalb von sechs Monaten nach seiner Benennung gemäß Artikel 3 eine von unabhängiger Stelle geprüfte Beschreibung aller Techniken zum Verbraucher-Profiling vor, die er für einzelne oder alle seiner im Benennungsbeschluss nach Artikel 3 Absatz 9 aufgeführten zentralen Plattformdienste verwendet. Die Kommission übermittelt diese geprüfte Beschreibung dem Europäischen Datenschutzausschuss.</w:t>
      </w:r>
    </w:p>
    <w:p>
      <w:r>
        <w:t xml:space="preserve">(2) Die Kommission kann einen Durchführungsrechtsakt nach Artikel 46 Absatz 1 Buchstabe g erlassen, um die Methodik und das Verfahren für die Prüfung auszugestalten.</w:t>
      </w:r>
    </w:p>
    <w:p>
      <w:r>
        <w:t xml:space="preserve">(3) Der Torwächter veröffentlicht eine Übersicht über die geprüfte Beschreibung nach Absatz 1. Dabei ist der Torwächter berechtigt, der Notwendigkeit der Wahrung seiner Geschäftsgeheimnisse Rechnung zu tragen. Der Torwächter aktualisiert die Beschreibung und die Übersicht mindestens einmal jährlich.</w:t>
      </w:r>
    </w:p>
    <w:p>
      <w:r>
        <w:rPr>
          <w:color w:val="555555"/>
          <w:sz w:val="17"/>
        </w:rPr>
        <w:t xml:space="preserve">Zitiervorschlag: Art 15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https://recht.nulegal.eu/gesetze/DMA/15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