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 DMA — Aktualisierung der Verpflichtungen der Torwächter</w:t>
      </w:r>
    </w:p>
    <w:p>
      <w:r>
        <w:rPr>
          <w:color w:val="555555"/>
          <w:sz w:val="18"/>
        </w:rPr>
        <w:t xml:space="preserve">DMA</w:t>
      </w:r>
    </w:p>
    <w:p>
      <w:r>
        <w:rPr>
          <w:color w:val="555555"/>
          <w:sz w:val="18"/>
        </w:rPr>
        <w:t xml:space="preserve">Stand: 22.07.2026 (konsolidierte Textfassung, kein amtliches Inkrafttretensdatum)</w:t>
      </w:r>
    </w:p>
    <w:p>
      <w:r>
        <w:t xml:space="preserve">(1)</w:t>
      </w:r>
    </w:p>
    <w:p>
      <w:r>
        <w:t xml:space="preserve">(2) Der Anwendungsbereich eines delegierten Rechtsakts, der gemäß Absatz 1 erlassen wird, ist auf Folgendes beschränkt:</w:t>
      </w:r>
    </w:p>
    <w:p>
      <w:r>
        <w:t xml:space="preserve">a) die Ausweitung einer Verpflichtung, die nur für bestimmte zentrale Plattformdienste gilt, auf andere in Artikel 2 Nummer 2 aufgeführte zentrale Plattformdienste,</w:t>
      </w:r>
    </w:p>
    <w:p>
      <w:r>
        <w:t xml:space="preserve">b) die Ausweitung einer Verpflichtung, die bestimmten gewerblichen Nutzern oder Endnutzern zugutekommt, sodass sie auch anderen gewerblichen Nutzern oder Endnutzern zugutekommt,</w:t>
      </w:r>
    </w:p>
    <w:p>
      <w:r>
        <w:t xml:space="preserve">c) die Festlegung der Art und Weise, in der Torwächter die in den Artikeln 5 und 6 festgelegten Verpflichtungen erfüllen müssen, um die wirksame Einhaltung dieser Verpflichtungen zu gewährleisten,</w:t>
      </w:r>
    </w:p>
    <w:p>
      <w:r>
        <w:t xml:space="preserve">d) die Ausweitung einer Verpflichtung, die nur für bestimmte Dienste gilt, die zusammen mit oder zur Unterstützung von zentralen Plattformdiensten erbracht werden, auf andere Dienste, die zusammen mit oder zur Unterstützung von zentralen Plattformdiensten erbracht werden,</w:t>
      </w:r>
    </w:p>
    <w:p>
      <w:r>
        <w:t xml:space="preserve">e) die Ausweitung einer Verpflichtung, die nur für bestimmte Arten von Daten gilt, auf andere Arten von Daten,</w:t>
      </w:r>
    </w:p>
    <w:p>
      <w:r>
        <w:t xml:space="preserve">f) die Aufnahme weiterer Bedingungen, wenn durch eine Verpflichtung bestimmte Bedingungen für das Verhalten eines Torwächters festgelegt werden, oder</w:t>
      </w:r>
    </w:p>
    <w:p>
      <w:r>
        <w:t xml:space="preserve">g) die Anwendung einer Verpflichtung, die das Verhältnis zwischen mehreren zentralen Plattformdiensten des Torwächters regelt, auf das Verhältnis zwischen einem zentralen Plattformdienst und anderen Diensten des Torwächters.</w:t>
      </w:r>
    </w:p>
    <w:p>
      <w:r>
        <w:t xml:space="preserve">(3) Diese delegierten Rechtsakte stützen sich auf eine Marktuntersuchung nach Artikel 19, in deren Rahmen festgestellt wurde, dass diese Verpflichtungen aktualisiert werden müssen, um Praktiken zu begegnen, die die Bestreitbarkeit zentraler Plattformdienste beschränken oder in gleicher Weise unfair sind wie die Praktiken, denen mit den in Artikel 7 festgelegten Verpflichtungen begegnet werden soll.</w:t>
      </w:r>
    </w:p>
    <w:p>
      <w:r>
        <w:t xml:space="preserve">(4)</w:t>
      </w:r>
    </w:p>
    <w:p>
      <w:r>
        <w:t xml:space="preserve">(5) Eine Praktik nach den Absätzen 1, 3 und 4 gilt als die Bestreitbarkeit zentraler Plattformdienste beschränkend oder unfair, wenn</w:t>
      </w:r>
    </w:p>
    <w:p>
      <w:r>
        <w:t xml:space="preserve">a) sie von Torwächtern angewandt wird und Innovationen behindern und die Wahlmöglichkeiten für gewerbliche Nutzer und Endnutzer einschränken kann, da sie</w:t>
      </w:r>
    </w:p>
    <w:p>
      <w:r>
        <w:t xml:space="preserve">i) die Bestreitbarkeit eines zentralen Plattformdienstes oder anderer Dienste im digitalen Sektor dauerhaft beeinträchtigt oder zu beeinträchtigen droht, indem Hindernisse geschaffen oder verstärkt werden, die anderen Unternehmen den Markteintritt oder eine Expansion als Anbieter eines zentralen Plattformdienstes oder anderer Dienste im digitalen Sektor erschweren, oder</w:t>
      </w:r>
    </w:p>
    <w:p>
      <w:r>
        <w:t xml:space="preserve">ii) andere Betreiber daran hindert, denselben Zugang zu entscheidendem Input zu haben wie der Torwächter, oder</w:t>
      </w:r>
    </w:p>
    <w:p>
      <w:r>
        <w:t xml:space="preserve">b) ein Ungleichgewicht zwischen den Rechten und Pflichten der gewerblichen Nutzer besteht und der Torwächter von den gewerblichen Nutzern einen Vorteil erhält, der in Anbetracht seiner Dienstleistung für diese gewerblichen Nutzer unverhältnismäßig wäre, oder</w:t>
      </w:r>
    </w:p>
    <w:p>
      <w:r>
        <w:rPr>
          <w:color w:val="555555"/>
          <w:sz w:val="17"/>
        </w:rPr>
        <w:t xml:space="preserve">Zitiervorschlag: Art 12 DMA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