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DLRLVerwV (Brandenburg) — Inkrafttreten</w:t>
      </w:r>
    </w:p>
    <w:p>
      <w:r>
        <w:rPr>
          <w:color w:val="555555"/>
          <w:sz w:val="18"/>
        </w:rPr>
        <w:t xml:space="preserve">DLRL-Verwaltungszusammenarbeitsverordnung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9. Februar 2011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Wirtschaft</w:t>
      </w:r>
    </w:p>
    <w:p>
      <w:r>
        <w:t xml:space="preserve">und Europaangelegenheiten</w:t>
      </w:r>
    </w:p>
    <w:p>
      <w:r>
        <w:t xml:space="preserve">Ralf Christoffers</w:t>
      </w:r>
    </w:p>
    <w:p>
      <w:r>
        <w:t xml:space="preserve">[1] ) Diese Verordnung dient der Umsetzung der Richtlinie 2006/123/EG des Europäischen Parlaments und des Rates vom 12. Dezember 2006 über Dienstleistungen im Binnenmarkt (ABl. L 376 vom 27.12.2006, S. 36).</w:t>
      </w:r>
    </w:p>
    <w:p>
      <w:r>
        <w:rPr>
          <w:color w:val="555555"/>
          <w:sz w:val="17"/>
        </w:rPr>
        <w:t xml:space="preserve">Zitiervorschlag: § 8 DLRLVerwV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https://recht.nulegal.eu/gesetze/DLRLVerwV/8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