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DLRLVerwV (Brandenburg) — Datenschutz</w:t>
      </w:r>
    </w:p>
    <w:p>
      <w:r>
        <w:rPr>
          <w:color w:val="555555"/>
          <w:sz w:val="18"/>
        </w:rPr>
        <w:t xml:space="preserve">DLRL-Verwaltungszusammenarbeitsverordnung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Verarbeitung personenbezogener Daten durch die jeweiligen Behörden ist zulässig, soweit dies zur Erfüllung der Aufgaben, die sich aus Artikel 10 Absatz 3 Satz 2 und Kapitel VI der Richtlinie 2006/123/EG sowie aus dieser Verordnung ergeben, erforderlich ist. Es gelten die Vorschriften des Brandenburgischen Datenschutzgesetzes in der Fassung der Bekanntmachung vom 15. Mai 2008 (GVBl. I S. 114), das zuletzt durch Artikel 1 des Gesetzes vom 25. Mai 2010 (GVBl. I Nr. 21) geändert worden ist, in der jeweils geltenden Fassung.</w:t>
      </w:r>
    </w:p>
    <w:p>
      <w:r>
        <w:rPr>
          <w:color w:val="555555"/>
          <w:sz w:val="17"/>
        </w:rPr>
        <w:t xml:space="preserve">Zitiervorschlag: § 7 DLRLVerwV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https://recht.nulegal.eu/gesetze/DLRLVerwV/7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