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DLRLVerwV (Brandenburg) — Verfahren bei Ausnahmen im Einzelfall</w:t>
      </w:r>
    </w:p>
    <w:p>
      <w:r>
        <w:rPr>
          <w:color w:val="555555"/>
          <w:sz w:val="18"/>
        </w:rPr>
        <w:t xml:space="preserve">DLRL-Verwaltungszusammenarbeitsverordnung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zuständigen Behörden obliegen nach Artikel 35 der Richtlinie 2006/123/EG folgende Aufgaben:</w:t>
      </w:r>
    </w:p>
    <w:p>
      <w:r>
        <w:t xml:space="preserve">die Versendung eines Ersuchens an den Niederlassungsmitgliedstaat gemäß Artikel 35 Absatz 2 der Richtlinie 2006/123/EG,</w:t>
      </w:r>
    </w:p>
    <w:p>
      <w:r>
        <w:t xml:space="preserve">die Feststellung, Überprüfung und Mitteilung nach Artikel 35 Absatz 2 der Richtlinie 2006/123/EG und</w:t>
      </w:r>
    </w:p>
    <w:p>
      <w:r>
        <w:t xml:space="preserve">die Versendung einer Mitteilung an die Kommission und den Niederlassungsmitgliedstaat gemäß Artikel 35 Absatz 3 und 6 der Richtlinie 2006/123/EG.</w:t>
      </w:r>
    </w:p>
    <w:p>
      <w:r>
        <w:t xml:space="preserve">(2) Die zuständige Behörde unterrichtet die Verbindungsstelle über Ersuchen und Mitteilungen nach Absatz 1.</w:t>
      </w:r>
    </w:p>
    <w:p>
      <w:r>
        <w:rPr>
          <w:color w:val="555555"/>
          <w:sz w:val="17"/>
        </w:rPr>
        <w:t xml:space="preserve">Zitiervorschlag: § 6 DLRLVerwV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https://recht.nulegal.eu/gesetze/DLRLVerwV/6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