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DLRLVerwV (Brandenburg) — Zuständige Behörden</w:t>
      </w:r>
    </w:p>
    <w:p>
      <w:r>
        <w:rPr>
          <w:color w:val="555555"/>
          <w:sz w:val="18"/>
        </w:rPr>
        <w:t xml:space="preserve">DLRL-Verwaltungszusammenarbeitsverordnung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Zuständige Behörde im Sinne dieser Verordnung ist jede Stelle, die öffentliche Aufgaben wahrnimmt, die in den Anwendungsbereich der Richtlinie 2006/123/EG fallen.</w:t>
      </w:r>
    </w:p>
    <w:p>
      <w:r>
        <w:t xml:space="preserve">(2) Die europäische Verwaltungszusammenarbeit erfolgt unmittelbar zwischen den zuständigen Behörden, sofern nicht die §§ 3 bis 5 Abweichendes regeln. Aufsichtsrechtliche Regelungen bleiben unberührt.</w:t>
      </w:r>
    </w:p>
    <w:p>
      <w:r>
        <w:rPr>
          <w:color w:val="555555"/>
          <w:sz w:val="17"/>
        </w:rPr>
        <w:t xml:space="preserve">Zitiervorschlag: § 2 DLRLVerwV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https://recht.nulegal.eu/gesetze/DLRLVerwV/2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