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DLR-StV (Brandenburg) — Verlautbarungsrecht</w:t>
      </w:r>
    </w:p>
    <w:p>
      <w:r>
        <w:rPr>
          <w:color w:val="555555"/>
          <w:sz w:val="18"/>
        </w:rPr>
        <w:t xml:space="preserve">Deutschlandradio-Staatsvertrag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Bundesregierung und den Landesregierungen ist in Katastrophenfällen oder bei anderen vergleichbaren erheblichen Gefahren für die öffentliche Sicherheit oder Ordnung unverzüglich angemessene Sendezeit in den Hörfunkprogrammen für amtliche Verlautbarungen unentgeltlich einzuräumen.</w:t>
      </w:r>
    </w:p>
    <w:p>
      <w:r>
        <w:rPr>
          <w:color w:val="555555"/>
          <w:sz w:val="17"/>
        </w:rPr>
        <w:t xml:space="preserve">Zitiervorschlag: § 10 DLR-StV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https://recht.nulegal.eu/gesetze/DLR-StV/10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