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DLKonjStatG 2013 — Periodizität, Erhebungsmerkmale, Berichtszeitraum, Berichtszeitpunkt</w:t>
      </w:r>
    </w:p>
    <w:p>
      <w:r>
        <w:rPr>
          <w:color w:val="555555"/>
          <w:sz w:val="18"/>
        </w:rPr>
        <w:t xml:space="preserve">Dienstleistungskonjunkturstatistikgesetz</w:t>
      </w:r>
    </w:p>
    <w:p>
      <w:r>
        <w:rPr>
          <w:color w:val="555555"/>
          <w:sz w:val="18"/>
        </w:rPr>
        <w:t xml:space="preserve">Historische Fassung: Stand 10.06.2019 bis 04.03.2021. Dies ist nicht die aktuelle Fassung.</w:t>
      </w:r>
    </w:p>
    <w:p>
      <w:r>
        <w:t xml:space="preserve">Beginnend mit der Erhebung für das erste Kalendervierteljahr des Jahres 2014 werden vierteljährlich folgende Merkmale erhoben:</w:t>
      </w:r>
    </w:p>
    <w:p>
      <w:pPr>
        <w:ind w:left="420"/>
      </w:pPr>
      <w:r>
        <w:t xml:space="preserve">1. von der Erhebungseinheit im Vierteljahr erzielte Umsätze und Einnahmen aus selbstständiger Arbeit,</w:t>
      </w:r>
    </w:p>
    <w:p>
      <w:pPr>
        <w:ind w:left="420"/>
      </w:pPr>
      <w:r>
        <w:t xml:space="preserve">2. Zahl der bei der Erhebungseinheit tätigen Personen am Ende des Vierteljahres, bei Erhebungseinheiten mit Niederlassungen in mehreren Ländern zusätzlich untergliedert nach Ländern,</w:t>
      </w:r>
    </w:p>
    <w:p>
      <w:pPr>
        <w:ind w:left="420"/>
      </w:pPr>
      <w:r>
        <w:t xml:space="preserve">3. während der zwölf Monate vor dem Ende des Vierteljahres von der Erhebungseinheit hauptsächlich ausgeübte wirtschaftliche Tätigkeit.</w:t>
      </w:r>
    </w:p>
    <w:p>
      <w:r>
        <w:rPr>
          <w:color w:val="555555"/>
          <w:sz w:val="17"/>
        </w:rPr>
        <w:t xml:space="preserve">Zitiervorschlag: § 4 DLKonjStatG 2013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https://recht.nulegal.eu/gesetze/DLKonjStatG%202013/4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