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DLInfoV — Inkrafttreten</w:t>
      </w:r>
    </w:p>
    <w:p>
      <w:r>
        <w:rPr>
          <w:color w:val="555555"/>
          <w:sz w:val="18"/>
        </w:rPr>
        <w:t xml:space="preserve">Dienstleistungs-Informationspflichten-Verordnung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zwei Monate nach der Verkündung in Kraft.</w:t>
      </w:r>
    </w:p>
    <w:p>
      <w:r>
        <w:rPr>
          <w:color w:val="555555"/>
          <w:sz w:val="17"/>
        </w:rPr>
        <w:t xml:space="preserve">Zitiervorschlag: § 7 DLInfoV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https://recht.nulegal.eu/gesetze/DLInfoV/7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