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DJubV — Zuständigkeit</w:t>
      </w:r>
    </w:p>
    <w:p>
      <w:r>
        <w:rPr>
          <w:color w:val="555555"/>
          <w:sz w:val="18"/>
        </w:rPr>
        <w:t xml:space="preserve">Dienstjubiläumsverordnung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 für die Durchführung dieser Verordnung ist die oberste Dienstbehörde. Sie kann die Aufgabe auf nachgeordnete Behörden übertragen.</w:t>
      </w:r>
    </w:p>
    <w:p>
      <w:r>
        <w:rPr>
          <w:color w:val="555555"/>
          <w:sz w:val="17"/>
        </w:rPr>
        <w:t xml:space="preserve">Zitiervorschlag: § 6 DJubV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https://recht.nulegal.eu/gesetze/DJubV/6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