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DJubV — Aushändigung der Dankurkunde</w:t>
      </w:r>
    </w:p>
    <w:p>
      <w:r>
        <w:rPr>
          <w:color w:val="555555"/>
          <w:sz w:val="18"/>
        </w:rPr>
        <w:t xml:space="preserve">Dienstjubiläumsverordnung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Dankurkunde darf nicht vor dem Tag des Dienstjubiläums ausgehändigt werden.</w:t>
      </w:r>
    </w:p>
    <w:p>
      <w:r>
        <w:t xml:space="preserve">(2) Im Einvernehmen mit der Dienstjubilarin oder dem Dienstjubilar kann die Dankurkunde nach Eintritt in den Ruhestand ausgehändigt werden.</w:t>
      </w:r>
    </w:p>
    <w:p>
      <w:r>
        <w:rPr>
          <w:color w:val="555555"/>
          <w:sz w:val="17"/>
        </w:rPr>
        <w:t xml:space="preserve">Zitiervorschlag: § 4 DJubV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https://recht.nulegal.eu/gesetze/DJubV/4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