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DJubV — Dienstjubiläen, Dankurkunden und Dienstjubiläumszuwendungen</w:t>
      </w:r>
    </w:p>
    <w:p>
      <w:r>
        <w:rPr>
          <w:color w:val="555555"/>
          <w:sz w:val="18"/>
        </w:rPr>
        <w:t xml:space="preserve">Dienstjubiläumsverordnung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Anlässlich des 25-jährigen, 40-jährigen und 50-jährigen Dienstjubiläums wird eine Dankurkunde ausgehändigt und wird eine Dienstjubiläumszuwendung gewährt.</w:t>
      </w:r>
    </w:p>
    <w:p>
      <w:r>
        <w:t xml:space="preserve">(2) Die Zuwendung beträgt nach einer Dienstzeit von</w:t>
      </w:r>
    </w:p>
    <w:p>
      <w:pPr>
        <w:ind w:left="420"/>
      </w:pPr>
      <w:r>
        <w:t xml:space="preserve">1. 25 Jahren 350 Euro,</w:t>
      </w:r>
    </w:p>
    <w:p>
      <w:pPr>
        <w:ind w:left="420"/>
      </w:pPr>
      <w:r>
        <w:t xml:space="preserve">2. 40 Jahren 500 Euro,</w:t>
      </w:r>
    </w:p>
    <w:p>
      <w:pPr>
        <w:ind w:left="420"/>
      </w:pPr>
      <w:r>
        <w:t xml:space="preserve">3. 50 Jahren 600 Euro.</w:t>
      </w:r>
    </w:p>
    <w:p>
      <w:r>
        <w:t xml:space="preserve">(3) Die Absätze 1 und 2 gelten nicht für Personen, denen aus demselben Anlass bereits eine Zuwendung aus öffentlichen Mitteln gewährt worden ist.</w:t>
      </w:r>
    </w:p>
    <w:p>
      <w:r>
        <w:t xml:space="preserve">(4) § 12 Absatz 3 Satz 1 Nummer 5 der Sonderurlaubsverordnung bleibt unberührt.</w:t>
      </w:r>
    </w:p>
    <w:p>
      <w:r>
        <w:rPr>
          <w:color w:val="555555"/>
          <w:sz w:val="17"/>
        </w:rPr>
        <w:t xml:space="preserve">Zitiervorschlag: § 2 DJubV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https://recht.nulegal.eu/gesetze/DJubV/2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