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DJubV — Persönlicher Geltungsbereich</w:t>
      </w:r>
    </w:p>
    <w:p>
      <w:r>
        <w:rPr>
          <w:color w:val="555555"/>
          <w:sz w:val="18"/>
        </w:rPr>
        <w:t xml:space="preserve">Dienstjubiläumsverordnung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</w:t>
      </w:r>
    </w:p>
    <w:p>
      <w:pPr>
        <w:ind w:left="420"/>
      </w:pPr>
      <w:r>
        <w:t xml:space="preserve">1. für die Beamtinnen und Beamten des Bundes,</w:t>
      </w:r>
    </w:p>
    <w:p>
      <w:pPr>
        <w:ind w:left="420"/>
      </w:pPr>
      <w:r>
        <w:t xml:space="preserve">2. für die Soldatinnen und Soldaten.</w:t>
      </w:r>
    </w:p>
    <w:p>
      <w:r>
        <w:t xml:space="preserve">Für die Richterinnen und Richter im Bundesdienst gelten die für Beamtinnen und Beamte geltenden Vorschriften dieser Verordnung nach § 46 des Deutschen Richtergesetzes entsprechend.</w:t>
      </w:r>
    </w:p>
    <w:p>
      <w:r>
        <w:rPr>
          <w:color w:val="555555"/>
          <w:sz w:val="17"/>
        </w:rPr>
        <w:t xml:space="preserve">Zitiervorschlag: § 1 DJubV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https://recht.nulegal.eu/gesetze/DJubV/1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