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DIVIIntRegV — Inkrafttreten, Außerkrafttreten</w:t>
      </w:r>
    </w:p>
    <w:p>
      <w:r>
        <w:rPr>
          <w:color w:val="555555"/>
          <w:sz w:val="18"/>
        </w:rPr>
        <w:t xml:space="preserve">DIVI IntensivRegister-Verordnung</w:t>
      </w:r>
    </w:p>
    <w:p>
      <w:r>
        <w:rPr>
          <w:color w:val="555555"/>
          <w:sz w:val="18"/>
        </w:rPr>
        <w:t xml:space="preserve">Historische Fassung: Stand 16.11.2021 bis 26.11.2022. Dies ist nicht die aktuelle Fassung.</w:t>
      </w:r>
    </w:p>
    <w:p>
      <w:r>
        <w:t xml:space="preserve">Diese Verordnung tritt am Tag nach der Verkündung in Kraft; sie tritt nach § 5 Absatz 4 Satz 2 Nummer 2 des Infektionsschutzgesetzes mit Ablauf des 25. November 2022 außer Kraft.</w:t>
      </w:r>
    </w:p>
    <w:p>
      <w:r>
        <w:rPr>
          <w:color w:val="555555"/>
          <w:sz w:val="17"/>
        </w:rPr>
        <w:t xml:space="preserve">Zitiervorschlag: § 4 DIVIIntRegV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https://recht.nulegal.eu/gesetze/DIVIIntRegV/4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