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DIVIIntRegV — Sanktion</w:t>
      </w:r>
    </w:p>
    <w:p>
      <w:r>
        <w:rPr>
          <w:color w:val="555555"/>
          <w:sz w:val="18"/>
        </w:rPr>
        <w:t xml:space="preserve">DIVI IntensivRegister-Verordnung</w:t>
      </w:r>
    </w:p>
    <w:p>
      <w:r>
        <w:rPr>
          <w:color w:val="555555"/>
          <w:sz w:val="18"/>
        </w:rPr>
        <w:t xml:space="preserve">Historische Fassung: Stand 31.03.2021 bis 26.11.2022. Dies ist nicht die aktuelle Fassung.</w:t>
      </w:r>
    </w:p>
    <w:p>
      <w:r>
        <w:t xml:space="preserve">Für jeden Tag, an dem ein Krankenhaus die Pflichten nach § 1 nicht, nicht vollständig oder nicht fristgerecht erfüllt, kürzt die für die Krankenhausplanung zuständige Landesbehörde die Höhe der tagesbezogenen Pauschale nach § 21 Absatz 3 des Krankenhausfinanzierungsgesetzes um 10 Prozent. Die für die Krankenhausplanung zuständige Landesbehörde hat die Erfüllung der Pflichten nach § 1 in geeigneter Weise zu überprüfen. Das Robert Koch-Institut übermittelt an die jeweils für die Krankenhausplanung zuständige Landesbehörde einmal wöchentlich eine nach Krankenhäusern differenzierte Übersicht über die Tage, an denen die Pflichten nach § 1 vollständig und fristgerecht erfüllt wurden.</w:t>
      </w:r>
    </w:p>
    <w:p>
      <w:r>
        <w:rPr>
          <w:color w:val="555555"/>
          <w:sz w:val="17"/>
        </w:rPr>
        <w:t xml:space="preserve">Zitiervorschlag: § 3 DIVIIntRegV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https://recht.nulegal.eu/gesetze/DIVIIntRegV/3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