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DIVIIntRegV — Nachweispflichten</w:t>
      </w:r>
    </w:p>
    <w:p>
      <w:r>
        <w:rPr>
          <w:color w:val="555555"/>
          <w:sz w:val="18"/>
        </w:rPr>
        <w:t xml:space="preserve">DIVI IntensivRegister-Verordnung</w:t>
      </w:r>
    </w:p>
    <w:p>
      <w:r>
        <w:rPr>
          <w:color w:val="555555"/>
          <w:sz w:val="18"/>
        </w:rPr>
        <w:t xml:space="preserve">Historische Fassung: Stand 03.06.2021 bis 26.11.2022. Dies ist nicht die aktuelle Fassung.</w:t>
      </w:r>
    </w:p>
    <w:p>
      <w:r>
        <w:t xml:space="preserve">Die Krankenhäuser weisen mit der wöchentlichen Meldung nach § 21 Absatz 2a Satz 3 des Krankenhausfinanzierungsgesetzes an die für die Krankenhausplanung zuständige Landesbehörde einmalig die Registrierung in dem DIVI IntensivRegister und mit jeder wöchentlichen Meldung die tägliche Übermittlung der Angaben nach § 1 Absatz 2 und 3 in dem DIVI IntensivRegister nach.</w:t>
      </w:r>
    </w:p>
    <w:p>
      <w:r>
        <w:rPr>
          <w:color w:val="555555"/>
          <w:sz w:val="17"/>
        </w:rPr>
        <w:t xml:space="preserve">Zitiervorschlag: § 2 DIVIIntRegV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https://recht.nulegal.eu/gesetze/DIVIIntRegV/2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