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DIMDIV — Speicherungsfrist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(1) Daten in der Datenbank nach § 4 Absatz 1 Nummer 1 stehen nach der Einstellung des Inverkehrbringens noch 20 Jahre in der Datenbank zur Verfügung. Nach Ablauf dieser Frist werden die Daten gelöscht.</w:t>
      </w:r>
    </w:p>
    <w:p>
      <w:r>
        <w:t xml:space="preserve">(2) Daten in den Datenbanken nach § 4 Absatz 1 Nummer 2 bis 5 stehen nach der letzten Änderung des jeweiligen Datensatzes noch 20 Jahre in der Datenbank zur Verfügung. Nach Ablauf dieser Frist werden die Daten gelöscht.</w:t>
      </w:r>
    </w:p>
    <w:p>
      <w:r>
        <w:rPr>
          <w:color w:val="555555"/>
          <w:sz w:val="17"/>
        </w:rPr>
        <w:t xml:space="preserve">Zitiervorschlag: § 7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