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DIMDIV — Medizinprodukte-Datenbanken</w:t>
      </w:r>
    </w:p>
    <w:p>
      <w:r>
        <w:rPr>
          <w:color w:val="555555"/>
          <w:sz w:val="18"/>
        </w:rPr>
        <w:t xml:space="preserve">DIMDI-Verordnung</w:t>
      </w:r>
    </w:p>
    <w:p>
      <w:r>
        <w:rPr>
          <w:color w:val="555555"/>
          <w:sz w:val="18"/>
        </w:rPr>
        <w:t xml:space="preserve">Historische Fassung: Stand 10.06.2019 bis 13.06.2020. Dies ist nicht die aktuelle Fassung.</w:t>
      </w:r>
    </w:p>
    <w:p>
      <w:r>
        <w:t xml:space="preserve">(1) Das Deutsche Institut für Medizinische Dokumentation und Information betreibt folgende Datenbanken:</w:t>
      </w:r>
    </w:p>
    <w:p>
      <w:pPr>
        <w:ind w:left="420"/>
      </w:pPr>
      <w:r>
        <w:t xml:space="preserve">1. Datenbank mit den Inhalten der Anlagen 1 und 2 zu dieser Verordnung über</w:t>
      </w:r>
    </w:p>
    <w:p>
      <w:pPr>
        <w:ind w:left="780"/>
      </w:pPr>
      <w:r>
        <w:t xml:space="preserve">a) Anzeigen nach § 25 des Medizinproduktegesetzes und</w:t>
      </w:r>
    </w:p>
    <w:p>
      <w:pPr>
        <w:ind w:left="780"/>
      </w:pPr>
      <w:r>
        <w:t xml:space="preserve">b) Anzeigen nach § 30 Abs. 2 des Medizinproduktegesetzes,</w:t>
      </w:r>
    </w:p>
    <w:p>
      <w:pPr>
        <w:ind w:left="420"/>
      </w:pPr>
      <w:r>
        <w:t xml:space="preserve">2. Datenbank mit dem Inhalt der Anlage 3 zu dieser Verordnung über Bescheinigungen der Benannten Stellen nach § 18 Abs. 3 Nr. 1 des Medizinproduktegesetzes,</w:t>
      </w:r>
    </w:p>
    <w:p>
      <w:pPr>
        <w:ind w:left="420"/>
      </w:pPr>
      <w:r>
        <w:t xml:space="preserve">3. Datenbank mit dem Inhalt der Anlage 4 zu dieser Verordnung über klinische Prüfungen und Leistungsbewertungsprüfungen nach den §§ 20 bis 24 des Medizinproduktegesetzes,</w:t>
      </w:r>
    </w:p>
    <w:p>
      <w:pPr>
        <w:ind w:left="420"/>
      </w:pPr>
      <w:r>
        <w:t xml:space="preserve">4. Datenbank mit dem Inhalt der Anlage 5 zu dieser Verordnung über Mitteilungen zur Klassifizierung eines Medizinproduktes bzw. Abgrenzung zu anderen Produkten nach § 33 Abs. 2 Nr. 2 in Verbindung mit § 13 des Medizinproduktegesetzes,</w:t>
      </w:r>
    </w:p>
    <w:p>
      <w:pPr>
        <w:ind w:left="420"/>
      </w:pPr>
      <w:r>
        <w:t xml:space="preserve">5. Datenbanken zum Medizinprodukte-Beobachtungs- und -Meldesystem mit den Daten nach § 29 Absatz 1 Satz 5 des Medizinproduktegesetzes; sie enthalten die Informationen über</w:t>
      </w:r>
    </w:p>
    <w:p>
      <w:pPr>
        <w:ind w:left="780"/>
      </w:pPr>
      <w:r>
        <w:t xml:space="preserve">a) Meldungen zu Vorkommnissen und Rückrufen gemäß § 3 Absatz 1 bis 4 der Medizinprodukte-Sicherheitsplanverordnung, den Abschluss und das Ergebnis der durchgeführten Risikobewertungen sowie die Mitteilungen, die die zuständigen Bundesoberbehörden nach § 21 Absatz 1 Satz 1 der Medizinprodukte-Sicherheitsplanverordnung übermitteln oder nach § 21 Absatz 2 Satz 1 der Medizinprodukte-Sicherheitsplanverordnung erhalten, und</w:t>
      </w:r>
    </w:p>
    <w:p>
      <w:pPr>
        <w:ind w:left="780"/>
      </w:pPr>
      <w:r>
        <w:t xml:space="preserve">b) Meldungen zu schwerwiegenden unerwünschten Ereignissen während klinischer Prüfungen oder Leistungsbewertungsprüfungen von In-vitro-Diagnostika gemäß § 3 Absatz 6 der Medizinprodukte-Sicherheitsplanverordnung sowie den Abschluss und das Ergebnis der durchgeführten Risikobewertungen.</w:t>
      </w:r>
    </w:p>
    <w:p>
      <w:r>
        <w:t xml:space="preserve">(2) Das Deutsche Institut für Medizinische Dokumentation und Information kann national und international zugängliche Datenbanken, die Informationen über Medizinprodukte enthalten, zur Nutzung aufbereiten und bereitstellen.</w:t>
      </w:r>
    </w:p>
    <w:p>
      <w:r>
        <w:rPr>
          <w:color w:val="555555"/>
          <w:sz w:val="17"/>
        </w:rPr>
        <w:t xml:space="preserve">Zitiervorschlag: § 4 DIMDIV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https://recht.nulegal.eu/gesetze/DIMDIV/4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