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DIMDIV — Zentrales Erfassungssystem für Anzeigen und Anträge bei klinischen Prüfungen und Leistungsbewertungsprüfungen</w:t>
      </w:r>
    </w:p>
    <w:p>
      <w:r>
        <w:rPr>
          <w:color w:val="555555"/>
          <w:sz w:val="18"/>
        </w:rPr>
        <w:t xml:space="preserve">DIMDI-Verordnung</w:t>
      </w:r>
    </w:p>
    <w:p>
      <w:r>
        <w:rPr>
          <w:color w:val="555555"/>
          <w:sz w:val="18"/>
        </w:rPr>
        <w:t xml:space="preserve">Historische Fassung: Stand 10.06.2019 bis 13.06.2020. Dies ist nicht die aktuelle Fassung.</w:t>
      </w:r>
    </w:p>
    <w:p>
      <w:r>
        <w:t xml:space="preserve">(1) § 3 Absatz 1 gilt entsprechend für Anzeigen und Anträge nach § 22 Absatz 1 Satz 1, § 22a Absatz 1 Satz 1, § 22c Absatz 1 und 2 sowie der §§ 23a und 24 des Medizinproduktegesetzes sowie nach § 7 Absatz 1 und § 8 Absatz 2 der Verordnung über klinische Prüfungen von Medizinprodukten, die bei der zuständigen Bundesoberbehörde und der zuständigen Ethik-Kommission vorzunehmen und zu stellen sind.</w:t>
      </w:r>
    </w:p>
    <w:p>
      <w:r>
        <w:t xml:space="preserve">(2) Die zuständige Bundesoberbehörde und die zuständige Ethik-Kommission geben ihre Entscheidungen zu Anträgen nach Absatz 1 unverzüglich in die Datenbank nach § 4 Absatz 1 Nummer 3 ein. Mit der Eingabe ihrer Entscheidung in die Datenbank hat die zuständige Ethik-Kommission die Unterrichtungspflicht nach § 22 Absatz 4 Satz 2 des Medizinproduktegesetzes erfüllt.</w:t>
      </w:r>
    </w:p>
    <w:p>
      <w:r>
        <w:t xml:space="preserve">(3) In einem automatisierten Verfahren werden die Behörden, die für die Überwachung zuständig sind, über Entscheidungen nach Absatz 2 Satz 1 informiert.</w:t>
      </w:r>
    </w:p>
    <w:p>
      <w:r>
        <w:rPr>
          <w:color w:val="555555"/>
          <w:sz w:val="17"/>
        </w:rPr>
        <w:t xml:space="preserve">Zitiervorschlag: § 3a DIMDIV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https://recht.nulegal.eu/gesetze/DIMDIV/3a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