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DIMDIV — Zentrales Erfassungssystem zur Entgegennahme von Anzeigen nach dem Medizinproduktegesetz</w:t>
      </w:r>
    </w:p>
    <w:p>
      <w:r>
        <w:rPr>
          <w:color w:val="555555"/>
          <w:sz w:val="18"/>
        </w:rPr>
        <w:t xml:space="preserve">DIMDI-Verordnung</w:t>
      </w:r>
    </w:p>
    <w:p>
      <w:r>
        <w:rPr>
          <w:color w:val="555555"/>
          <w:sz w:val="18"/>
        </w:rPr>
        <w:t xml:space="preserve">Historische Fassung: Stand 10.06.2019 bis 13.06.2020. Dies ist nicht die aktuelle Fassung.</w:t>
      </w:r>
    </w:p>
    <w:p>
      <w:r>
        <w:t xml:space="preserve">(1) Beim Deutschen Institut für Medizinische Dokumentation und Information werden die Voraussetzungen dafür geschaffen, Anzeigen nach § 18 Abs. 3 Nr. 1, §§ 25 und 30 Abs. 2 des Medizinproduktegesetzes zentral über ein internetbasiertes Erfassungssystem für die zuständigen Behörden entgegenzunehmen. Die Anzeigen werden durch ein automatisiertes Verfahren den zuständigen Behörden zugeordnet und diese werden unverzüglich über den Eingang der Anzeige informiert.</w:t>
      </w:r>
    </w:p>
    <w:p>
      <w:r>
        <w:t xml:space="preserve">(2) Die zuständigen Behörden prüfen die nach § 2 Absatz 1 und 2 Nummer 1 eingestellten Daten auf Plausibilität und sorgen für die notwendige Vervollständigung.</w:t>
      </w:r>
    </w:p>
    <w:p>
      <w:r>
        <w:t xml:space="preserve">(3) Nach Abschluss der Prüfung nach Absatz 2 gibt die zuständige Behörde die Daten gegenüber dem Deutschen Institut für Medizinische Dokumentation und Information zur Einstellung in eine der in § 4 Abs. 1 benannten Datenbanken frei. Mit der Freigabe gilt die Übermittlungspflicht der Behörde an das Deutsche Institut für Medizinische Dokumentation und Information nach dem Medizinproduktegesetz als erfüllt. Die zuständige Behörde soll den Anzeigepflichtigen nach Absatz 1 über die Datenfreigabe informieren.</w:t>
      </w:r>
    </w:p>
    <w:p>
      <w:r>
        <w:rPr>
          <w:color w:val="555555"/>
          <w:sz w:val="17"/>
        </w:rPr>
        <w:t xml:space="preserve">Zitiervorschlag: § 3 DIMDIV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https://recht.nulegal.eu/gesetze/DIMDIV/3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