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DIMDIV — Anwendungsbereich</w:t>
      </w:r>
    </w:p>
    <w:p>
      <w:r>
        <w:rPr>
          <w:color w:val="555555"/>
          <w:sz w:val="18"/>
        </w:rPr>
        <w:t xml:space="preserve">DIMDI-Verordnung</w:t>
      </w:r>
    </w:p>
    <w:p>
      <w:r>
        <w:rPr>
          <w:color w:val="555555"/>
          <w:sz w:val="18"/>
        </w:rPr>
        <w:t xml:space="preserve">Historische Fassung: Stand 10.06.2019 bis 13.06.2020. Dies ist nicht die aktuelle Fassung.</w:t>
      </w:r>
    </w:p>
    <w:p>
      <w:r>
        <w:t xml:space="preserve">Diese Verordnung regelt die Verarbeitung der Daten, die für das datenbankgestützte Informationssystem über Medizinprodukte benötigt werden.</w:t>
      </w:r>
    </w:p>
    <w:p>
      <w:r>
        <w:rPr>
          <w:color w:val="555555"/>
          <w:sz w:val="17"/>
        </w:rPr>
        <w:t xml:space="preserve">Zitiervorschlag: § 1 DIMDIV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