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DIMDIAMV</w:t>
      </w:r>
    </w:p>
    <w:p>
      <w:r>
        <w:rPr>
          <w:color w:val="555555"/>
          <w:sz w:val="18"/>
        </w:rPr>
        <w:t xml:space="preserve">BfArM-Arzneimitteldatenverordnung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– das Bundesministerium für Gesundheit auf Grund des § 67a Absatz 3 Satz 1 und 2 in Verbindung mit Absatz 2 und 4 des Arzneimittelgesetzes, der zuletzt durch Artikel 2 des Gesetzes vom 14. Juni 2007 (BGBl. I S. 1066) geändert worden ist, im Einvernehmen mit dem Bundesministerium des Innern, dem Bundesministerium für Wirtschaft und Technologie und dem Bundesministerium für Umwelt, Naturschutz und Reaktorsicherheit,</w:t>
      </w:r>
    </w:p>
    <w:p>
      <w:pPr>
        <w:ind w:left="420"/>
      </w:pPr>
      <w:r>
        <w:t xml:space="preserve">– das Bundesministerium für Ernährung, Landwirtschaft und Verbraucherschutz auf Grund des § 67a Absatz 3 Satz 1 und 2 in Verbindung mit Satz 3 und Absatz 2 des Arzneimittelgesetzes, der zuletzt durch Artikel 2 des Gesetzes vom 14. Juni 2007 (BGBl. I S. 1066) geändert worden ist, im Einvernehmen mit dem Bundesministerium des Innern, dem Bundesministerium für Wirtschaft und Technologie und dem Bundesministerium für Gesundheit und auf Grund des § 47 Absatz 1c Satz 2 des Arzneimittelgesetzes, der zuletzt durch Artikel 1 des Gesetzes vom 17. Juli 2009 (BGBl. I S. 1990) geändert worden ist, im Einvernehmen mit dem Bundesministerium für Gesundheit:</w:t>
      </w:r>
    </w:p>
    <w:p>
      <w:r>
        <w:rPr>
          <w:color w:val="555555"/>
          <w:sz w:val="17"/>
        </w:rPr>
        <w:t xml:space="preserve">Zitiervorschlag: Eingangsformel DIMDIAMV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https://recht.nulegal.eu/gesetze/DIMDIAMV/eingangsformel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