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DIMDIAMV — Inkrafttreten</w:t>
      </w:r>
    </w:p>
    <w:p>
      <w:r>
        <w:rPr>
          <w:color w:val="555555"/>
          <w:sz w:val="18"/>
        </w:rPr>
        <w:t xml:space="preserve">BfArM-Arzneimitteldatenverordnung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DIMDIAMV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https://recht.nulegal.eu/gesetze/DIMDIAMV/6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