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DIMDIAMV — Auskunftsrecht</w:t>
      </w:r>
    </w:p>
    <w:p>
      <w:r>
        <w:rPr>
          <w:color w:val="555555"/>
          <w:sz w:val="18"/>
        </w:rPr>
        <w:t xml:space="preserve">BfArM-Arzneimitteldatenverordnung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15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72) ist auf juristische Personen entsprechend anzuwenden.</w:t>
      </w:r>
    </w:p>
    <w:p>
      <w:r>
        <w:rPr>
          <w:color w:val="555555"/>
          <w:sz w:val="17"/>
        </w:rPr>
        <w:t xml:space="preserve">Zitiervorschlag: § 5 DIMDIAMV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https://recht.nulegal.eu/gesetze/DIMDIAMV/5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