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DIFG — Auflösung</w:t>
      </w:r>
    </w:p>
    <w:p>
      <w:r>
        <w:rPr>
          <w:color w:val="555555"/>
          <w:sz w:val="18"/>
        </w:rPr>
        <w:t xml:space="preserve">Digitalinfrastrukturfondsgesetz</w:t>
      </w:r>
    </w:p>
    <w:p>
      <w:r>
        <w:rPr>
          <w:color w:val="555555"/>
          <w:sz w:val="18"/>
        </w:rPr>
        <w:t xml:space="preserve">Historische Fassung: Stand 01.01.2024 bis 01.04.2024. Dies ist nicht die aktuelle Fassung.</w:t>
      </w:r>
    </w:p>
    <w:p>
      <w:r>
        <w:t xml:space="preserve">Das Sondervermögen wird zum 30. März 2024 aufgelöst. Das vorhandene Vermögen wird an den Bundeshaushalt 2024 abgeführt.</w:t>
      </w:r>
    </w:p>
    <w:p>
      <w:r>
        <w:rPr>
          <w:color w:val="555555"/>
          <w:sz w:val="17"/>
        </w:rPr>
        <w:t xml:space="preserve">Zitiervorschlag: § 9 DIFG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https://recht.nulegal.eu/gesetze/DIFG/9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