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DIFG — Jahresrechnung</w:t>
      </w:r>
    </w:p>
    <w:p>
      <w:r>
        <w:rPr>
          <w:color w:val="555555"/>
          <w:sz w:val="18"/>
        </w:rPr>
        <w:t xml:space="preserve">Digitalinfrastrukturfondsgesetz</w:t>
      </w:r>
    </w:p>
    <w:p>
      <w:r>
        <w:rPr>
          <w:color w:val="555555"/>
          <w:sz w:val="18"/>
        </w:rPr>
        <w:t xml:space="preserve">Historische Fassung: Stand 10.06.2019 bis 01.04.2024. Dies ist nicht die aktuelle Fassung.</w:t>
      </w:r>
    </w:p>
    <w:p>
      <w:r>
        <w:t xml:space="preserve">Das Bundesministerium der Finanzen stellt am Schluss eines jeden Rechnungsjahres die Rechnung über die Einnahmen und Ausgaben des Sondervermögens auf und fügt sie den Übersichten zur Haushaltsrechnung des Bundes bei.</w:t>
      </w:r>
    </w:p>
    <w:p>
      <w:r>
        <w:rPr>
          <w:color w:val="555555"/>
          <w:sz w:val="17"/>
        </w:rPr>
        <w:t xml:space="preserve">Zitiervorschlag: § 7 DIFG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https://recht.nulegal.eu/gesetze/DIFG/7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