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DIFG — Wirtschaftsplan, Haushaltsrecht, Mittelverwendung</w:t>
      </w:r>
    </w:p>
    <w:p>
      <w:r>
        <w:rPr>
          <w:color w:val="555555"/>
          <w:sz w:val="18"/>
        </w:rPr>
        <w:t xml:space="preserve">Digitalinfrastrukturfondsgesetz</w:t>
      </w:r>
    </w:p>
    <w:p>
      <w:r>
        <w:rPr>
          <w:color w:val="555555"/>
          <w:sz w:val="18"/>
        </w:rPr>
        <w:t xml:space="preserve">Historische Fassung: Stand 17.07.2020 bis 01.04.2024. Dies ist nicht die aktuelle Fassung.</w:t>
      </w:r>
    </w:p>
    <w:p>
      <w:r>
        <w:t xml:space="preserve">(1) Alle Einnahmen und Ausgaben des Sondervermögens werden in einem Wirtschaftsplan veranschlagt, der für das Jahr 2018 Anlage zu diesem Gesetz ist und ab dem Wirtschaftsjahr 2019 dem Einzelplan 60 als Anlage beizufügen ist. Der Wirtschaftsplan ist in Einnahmen und Ausgaben auszugleichen. Er wird zusammen mit dem Haushaltsgesetz festgestellt. Der dem Sondervermögen zur Verfügung gestellte Betrag verbleibt bis zur Auszahlung unverzinslich im Kassenbereich des Bundes und wird bedarfsgerecht über das Sondervermögen ausgezahlt.</w:t>
      </w:r>
    </w:p>
    <w:p>
      <w:r>
        <w:t xml:space="preserve">(2) Eine Kreditaufnahme durch das Sondervermögen ist nicht zulässig.</w:t>
      </w:r>
    </w:p>
    <w:p>
      <w:r>
        <w:t xml:space="preserve">(3) Der Wirtschaftsplan gliedert sich in die Titelgruppen</w:t>
      </w:r>
    </w:p>
    <w:p>
      <w:pPr>
        <w:ind w:left="420"/>
      </w:pPr>
      <w:r>
        <w:t xml:space="preserve">01 – Förderung von Investitionen zur unmittelbaren Unterstützung des Ausbaus von Gigabitnetzen und des weiteren Mobilfunkausbaus in den Grenzen der wettbewerblichen und regulatorischen Rahmenbedingungen,</w:t>
      </w:r>
    </w:p>
    <w:p>
      <w:pPr>
        <w:ind w:left="420"/>
      </w:pPr>
      <w:r>
        <w:t xml:space="preserve">02 – Finanzhilfen an Länder für gesamtstaatlich bedeutsame Investitionen sowie besondere, mit diesen unmittelbar verbundene, befristete Ausgaben der Länder und Gemeinden (Gemeindeverbände) zur Steigerung der Leistungsfähigkeit der kommunalen digitalen Bildungsinfrastruktur in Schulen.</w:t>
      </w:r>
    </w:p>
    <w:p>
      <w:r>
        <w:t xml:space="preserve">(4) Einnahmen des Sondervermögens aus § 4 Absatz 1 werden in Höhe von 70 Prozent für die Titelgruppe 01 und in Höhe von 30 Prozent für die Titelgruppe 02 bereitgestellt. Soweit die Maßnahmen der Titelgruppe 02 vollständig finanziert sind, fließen alle Einnahmen des Sondervermögens der Titelgruppe 01 zu.</w:t>
      </w:r>
    </w:p>
    <w:p>
      <w:r>
        <w:rPr>
          <w:color w:val="555555"/>
          <w:sz w:val="17"/>
        </w:rPr>
        <w:t xml:space="preserve">Zitiervorschlag: § 6 DIFG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https://recht.nulegal.eu/gesetze/DIFG/6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