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DIFG — Rücklagen</w:t>
      </w:r>
    </w:p>
    <w:p>
      <w:r>
        <w:rPr>
          <w:color w:val="555555"/>
          <w:sz w:val="18"/>
        </w:rPr>
        <w:t xml:space="preserve">Digitalinfrastrukturfondsgesetz</w:t>
      </w:r>
    </w:p>
    <w:p>
      <w:r>
        <w:rPr>
          <w:color w:val="555555"/>
          <w:sz w:val="18"/>
        </w:rPr>
        <w:t xml:space="preserve">Historische Fassung: Stand 10.06.2019 bis 01.04.2024. Dies ist nicht die aktuelle Fassung.</w:t>
      </w:r>
    </w:p>
    <w:p>
      <w:r>
        <w:t xml:space="preserve">Das Sondervermögen kann zur Erfüllung des gesetzlichen Zwecks Rücklagen bilden.</w:t>
      </w:r>
    </w:p>
    <w:p>
      <w:r>
        <w:rPr>
          <w:color w:val="555555"/>
          <w:sz w:val="17"/>
        </w:rPr>
        <w:t xml:space="preserve">Zitiervorschlag: § 5 DIFG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https://recht.nulegal.eu/gesetze/DIFG/5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