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DIFG — Außerkrafttreten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01.01.2024 bis 01.04.2024. Dies ist nicht die aktuelle Fassung.</w:t>
      </w:r>
    </w:p>
    <w:p>
      <w:r>
        <w:t xml:space="preserve">Dieses Gesetz tritt am 31. März 2024 außer Kraft.</w:t>
      </w:r>
    </w:p>
    <w:p>
      <w:r>
        <w:rPr>
          <w:color w:val="555555"/>
          <w:sz w:val="17"/>
        </w:rPr>
        <w:t xml:space="preserve">Zitiervorschlag: § 10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