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DIFG — Errichtung des Sondervermögens</w:t>
      </w:r>
    </w:p>
    <w:p>
      <w:r>
        <w:rPr>
          <w:color w:val="555555"/>
          <w:sz w:val="18"/>
        </w:rPr>
        <w:t xml:space="preserve">Digitalinfrastrukturfondsgesetz</w:t>
      </w:r>
    </w:p>
    <w:p>
      <w:r>
        <w:rPr>
          <w:color w:val="555555"/>
          <w:sz w:val="18"/>
        </w:rPr>
        <w:t xml:space="preserve">Historische Fassung: Stand 10.06.2019 bis 01.04.2024. Dies ist nicht die aktuelle Fassung.</w:t>
      </w:r>
    </w:p>
    <w:p>
      <w:r>
        <w:t xml:space="preserve">Es wird ein Sondervermögen des Bundes mit der Bezeichnung „Digitale Infrastruktur“ errichtet.</w:t>
      </w:r>
    </w:p>
    <w:p>
      <w:r>
        <w:rPr>
          <w:color w:val="555555"/>
          <w:sz w:val="17"/>
        </w:rPr>
        <w:t xml:space="preserve">Zitiervorschlag: § 1 DIFG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https://recht.nulegal.eu/gesetze/DIFG/1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