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DIBt-AbkommenG (Brandenburg)</w:t>
      </w:r>
    </w:p>
    <w:p>
      <w:r>
        <w:rPr>
          <w:color w:val="555555"/>
          <w:sz w:val="18"/>
        </w:rPr>
        <w:t xml:space="preserve">Gesetz zum Abkommen über das Deutsche Institut für Bautechnik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Der für die Bauaufsicht zuständige Minister wird ermächtigt, durch Rechtsverordnung dem Deutschen Institut für Bautechnik Aufgaben nach dem Bauproduktengesetz zu übertragen.</w:t>
      </w:r>
    </w:p>
    <w:p>
      <w:r>
        <w:rPr>
          <w:color w:val="555555"/>
          <w:sz w:val="17"/>
        </w:rPr>
        <w:t xml:space="preserve">Zitiervorschlag: § 2 DIBt-AbkommenG (Brandenburg)</w:t>
      </w:r>
    </w:p>
    <w:p>
      <w:r>
        <w:rPr>
          <w:color w:val="555555"/>
          <w:sz w:val="17"/>
        </w:rPr>
        <w:t xml:space="preserve">Quelle: bravors, abgerufen 29.07.2026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https://recht.nulegal.eu/gesetze/DIBt-AbkommenG/2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