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13 DIBt-Abkommen (Brandenburg) — Schiedsklausel</w:t>
      </w:r>
    </w:p>
    <w:p>
      <w:r>
        <w:rPr>
          <w:color w:val="555555"/>
          <w:sz w:val="18"/>
        </w:rPr>
        <w:t xml:space="preserve">Abkommen über das Deutsche Institut für Bautechnik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Streitigkeiten aus diesem Abkommen werden durch ein Schiedsgericht entschieden. Es gilt der als Anlage beigefügte Schiedsvertrag.</w:t>
      </w:r>
    </w:p>
    <w:p>
      <w:r>
        <w:rPr>
          <w:color w:val="555555"/>
          <w:sz w:val="17"/>
        </w:rPr>
        <w:t xml:space="preserve">Zitiervorschlag: Art 13 DIBt-Abkommen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https://recht.nulegal.eu/gesetze/DIBt-Abkommen/13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