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DIBt-ÜtVO (Nordrhein-Westfalen) — Beteiligung oberster Landesbehörden</w:t>
      </w:r>
    </w:p>
    <w:p>
      <w:r>
        <w:rPr>
          <w:color w:val="555555"/>
          <w:sz w:val="18"/>
        </w:rPr>
        <w:t xml:space="preserve">DIBt-Übertragungsverordnung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Wenn im Fall von Befugnissen nach § 1 Aufgaben im Zuständigkeitsbereich der obersten Bauaufsichtsbehörde betroffen sind, erteilt das Deutsche Institut für Bautechnik die Anerkennungen im Einvernehmen mit dieser.</w:t>
      </w:r>
    </w:p>
    <w:p>
      <w:r>
        <w:t xml:space="preserve">(2) Sind von einem Antrag auf Anerkennung nach § 1 Aufgaben berührt, die ganz oder teilweise in den Zuständigkeitsbereich anderer oberster Landesbehörden fallen, so erteilt das Deutsche Institut für Bautechnik die Anerkennung im Einvernehmen mit diesen obersten Landesbehörden.</w:t>
      </w:r>
    </w:p>
    <w:p>
      <w:r>
        <w:rPr>
          <w:color w:val="555555"/>
          <w:sz w:val="17"/>
        </w:rPr>
        <w:t xml:space="preserve">Zitiervorschlag: § 2 DIBt-ÜtVO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https://recht.nulegal.eu/gesetze/DIBt-%C3%9CtVO/2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DIBt-ÜtVO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