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DHRV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Das Bundesministerium für Gesundheit verordnet</w:t>
      </w:r>
    </w:p>
    <w:p>
      <w:pPr>
        <w:ind w:left="420"/>
      </w:pPr>
      <w:r>
        <w:t xml:space="preserve">– auf Grund des § 21a Absatz 6 des Transfusionsgesetzes, der durch Artikel 3 Nummer 4 des Gesetzes vom 18. Juli 2017 (BGBl. I S. 2757) eingefügt worden ist, nach Anhörung von Sachverständigen und</w:t>
      </w:r>
    </w:p>
    <w:p>
      <w:pPr>
        <w:ind w:left="420"/>
      </w:pPr>
      <w:r>
        <w:t xml:space="preserve">– auf Grund des § 22 Absatz 1 und 4 Satz 1 des Bundesgebührengesetzes vom 7. August 2013 (BGBl. I S. 3154):</w:t>
      </w:r>
    </w:p>
    <w:p>
      <w:r>
        <w:rPr>
          <w:color w:val="555555"/>
          <w:sz w:val="17"/>
        </w:rPr>
        <w:t xml:space="preserve">Zitiervorschlag: Eingangsformel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